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82F" w14:textId="77777777" w:rsidR="000831A7" w:rsidRPr="00444B21" w:rsidRDefault="000831A7" w:rsidP="000831A7">
      <w:pPr>
        <w:spacing w:before="120" w:after="120"/>
        <w:jc w:val="center"/>
        <w:rPr>
          <w:rFonts w:ascii="Times New Roman" w:eastAsia="Times New Roman" w:hAnsi="Times New Roman" w:cs="Times New Roman"/>
          <w:b/>
          <w:sz w:val="36"/>
          <w:szCs w:val="36"/>
        </w:rPr>
      </w:pPr>
      <w:r w:rsidRPr="00444B21">
        <w:rPr>
          <w:rFonts w:ascii="Times New Roman" w:eastAsia="Times New Roman" w:hAnsi="Times New Roman" w:cs="Times New Roman"/>
          <w:b/>
          <w:sz w:val="36"/>
          <w:szCs w:val="36"/>
        </w:rPr>
        <w:t>Harjumaa omavalitsuspäeva deklaratsioon elukestvast huviharidusest ja huvitegevusest</w:t>
      </w:r>
    </w:p>
    <w:p w14:paraId="01AB6ADB" w14:textId="77777777" w:rsidR="000831A7" w:rsidRPr="00444B21" w:rsidRDefault="000831A7" w:rsidP="000831A7">
      <w:pPr>
        <w:spacing w:before="120" w:after="120"/>
        <w:jc w:val="both"/>
        <w:rPr>
          <w:rFonts w:ascii="Times New Roman" w:eastAsia="Times New Roman" w:hAnsi="Times New Roman" w:cs="Times New Roman"/>
          <w:b/>
          <w:sz w:val="24"/>
          <w:szCs w:val="24"/>
        </w:rPr>
      </w:pPr>
    </w:p>
    <w:p w14:paraId="282EF6A0" w14:textId="77777777" w:rsidR="000831A7" w:rsidRPr="00444B21" w:rsidRDefault="000831A7" w:rsidP="000831A7">
      <w:pPr>
        <w:spacing w:before="120" w:after="120"/>
        <w:jc w:val="both"/>
        <w:rPr>
          <w:rFonts w:ascii="Times New Roman" w:eastAsia="Times New Roman" w:hAnsi="Times New Roman" w:cs="Times New Roman"/>
          <w:b/>
          <w:sz w:val="24"/>
          <w:szCs w:val="24"/>
        </w:rPr>
      </w:pPr>
      <w:r w:rsidRPr="00444B21">
        <w:rPr>
          <w:rFonts w:ascii="Times New Roman" w:eastAsia="Times New Roman" w:hAnsi="Times New Roman" w:cs="Times New Roman"/>
          <w:b/>
          <w:sz w:val="24"/>
          <w:szCs w:val="24"/>
        </w:rPr>
        <w:t>I</w:t>
      </w:r>
      <w:r w:rsidRPr="00444B21">
        <w:rPr>
          <w:rFonts w:ascii="Times New Roman" w:eastAsia="Times New Roman" w:hAnsi="Times New Roman" w:cs="Times New Roman"/>
          <w:b/>
          <w:sz w:val="24"/>
          <w:szCs w:val="24"/>
        </w:rPr>
        <w:tab/>
        <w:t>Olukorrast ja suundumustest elukestva huvihariduse ja huvitegevuse valdkonnas</w:t>
      </w:r>
    </w:p>
    <w:p w14:paraId="2CB83245"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Huviharidus on Eesti Vabariigi Haridusseaduse sätete kohaselt üks haridusliikidest </w:t>
      </w:r>
      <w:proofErr w:type="spellStart"/>
      <w:r w:rsidRPr="00444B21">
        <w:rPr>
          <w:rFonts w:ascii="Times New Roman" w:eastAsia="Times New Roman" w:hAnsi="Times New Roman" w:cs="Times New Roman"/>
          <w:sz w:val="24"/>
          <w:szCs w:val="24"/>
        </w:rPr>
        <w:t>üld</w:t>
      </w:r>
      <w:proofErr w:type="spellEnd"/>
      <w:r w:rsidRPr="00444B21">
        <w:rPr>
          <w:rFonts w:ascii="Times New Roman" w:eastAsia="Times New Roman" w:hAnsi="Times New Roman" w:cs="Times New Roman"/>
          <w:sz w:val="24"/>
          <w:szCs w:val="24"/>
        </w:rPr>
        <w:t>- ja kutsehariduse kõrval ning huvihariduse- ja huvitegevuse eesmärk on, nagu haridusel üldse:</w:t>
      </w:r>
    </w:p>
    <w:p w14:paraId="316D38E4"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luua soodsad tingimused isiksuse, perekonna, eesti rahvuse, samuti rahvusvähemuste ja Eesti ühiskonna majandus-, poliitilise ning kultuurielu ja loodu</w:t>
      </w:r>
      <w:sdt>
        <w:sdtPr>
          <w:rPr>
            <w:rFonts w:ascii="Times New Roman" w:hAnsi="Times New Roman" w:cs="Times New Roman"/>
            <w:sz w:val="24"/>
            <w:szCs w:val="24"/>
          </w:rPr>
          <w:tag w:val="goog_rdk_0"/>
          <w:id w:val="-1449394745"/>
        </w:sdtPr>
        <w:sdtContent/>
      </w:sdt>
      <w:r w:rsidRPr="00444B21">
        <w:rPr>
          <w:rFonts w:ascii="Times New Roman" w:eastAsia="Times New Roman" w:hAnsi="Times New Roman" w:cs="Times New Roman"/>
          <w:sz w:val="24"/>
          <w:szCs w:val="24"/>
        </w:rPr>
        <w:t>shoiu sidusaks arenguks maailma majand</w:t>
      </w:r>
      <w:sdt>
        <w:sdtPr>
          <w:rPr>
            <w:rFonts w:ascii="Times New Roman" w:hAnsi="Times New Roman" w:cs="Times New Roman"/>
            <w:sz w:val="24"/>
            <w:szCs w:val="24"/>
          </w:rPr>
          <w:tag w:val="goog_rdk_1"/>
          <w:id w:val="-1080286588"/>
        </w:sdtPr>
        <w:sdtContent/>
      </w:sdt>
      <w:r w:rsidRPr="00444B21">
        <w:rPr>
          <w:rFonts w:ascii="Times New Roman" w:eastAsia="Times New Roman" w:hAnsi="Times New Roman" w:cs="Times New Roman"/>
          <w:sz w:val="24"/>
          <w:szCs w:val="24"/>
        </w:rPr>
        <w:t>use ja kultuuri kontekstis;</w:t>
      </w:r>
    </w:p>
    <w:p w14:paraId="462C42AB"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kujundada seadusi austavaid ja järgivaid inimesi;</w:t>
      </w:r>
    </w:p>
    <w:p w14:paraId="2B066AAC"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luua eeldused pidevõppeks.</w:t>
      </w:r>
    </w:p>
    <w:p w14:paraId="30370614" w14:textId="77777777" w:rsidR="000831A7" w:rsidRPr="00444B21" w:rsidRDefault="000831A7" w:rsidP="000831A7">
      <w:pPr>
        <w:pStyle w:val="Loendilik"/>
        <w:numPr>
          <w:ilvl w:val="0"/>
          <w:numId w:val="1"/>
        </w:numPr>
        <w:spacing w:before="120" w:after="120"/>
        <w:contextualSpacing w:val="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tagada igaühe õnnelik elu, heaolu ja vaimne tervis.</w:t>
      </w:r>
    </w:p>
    <w:p w14:paraId="49F0EC94" w14:textId="77777777" w:rsidR="000831A7" w:rsidRPr="00444B21" w:rsidRDefault="000831A7" w:rsidP="000831A7">
      <w:pPr>
        <w:shd w:val="clear" w:color="auto" w:fill="FFFFFF"/>
        <w:spacing w:before="120" w:after="120"/>
        <w:jc w:val="both"/>
        <w:rPr>
          <w:rFonts w:ascii="Times New Roman" w:eastAsia="Times New Roman" w:hAnsi="Times New Roman" w:cs="Times New Roman"/>
          <w:spacing w:val="-5"/>
          <w:sz w:val="24"/>
          <w:szCs w:val="24"/>
        </w:rPr>
      </w:pPr>
      <w:r w:rsidRPr="00444B21">
        <w:rPr>
          <w:rFonts w:ascii="Times New Roman" w:eastAsia="Times New Roman" w:hAnsi="Times New Roman" w:cs="Times New Roman"/>
          <w:spacing w:val="-5"/>
          <w:sz w:val="24"/>
          <w:szCs w:val="24"/>
        </w:rPr>
        <w:t xml:space="preserve">Huvihariduse ja huvitegevuses osalemisega kujunevad ühiskonna kollektiivsed suutlikkused (koostöösuutlikkused aktiivsete ühiskonnaliikmetena) ja piirkondlik võimekus ning ühiskonna tasemel suuremad nähtused nagu tolerants, heaolu ja </w:t>
      </w:r>
      <w:proofErr w:type="spellStart"/>
      <w:r w:rsidRPr="00444B21">
        <w:rPr>
          <w:rFonts w:ascii="Times New Roman" w:eastAsia="Times New Roman" w:hAnsi="Times New Roman" w:cs="Times New Roman"/>
          <w:spacing w:val="-5"/>
          <w:sz w:val="24"/>
          <w:szCs w:val="24"/>
        </w:rPr>
        <w:t>hoituse</w:t>
      </w:r>
      <w:proofErr w:type="spellEnd"/>
      <w:r w:rsidRPr="00444B21">
        <w:rPr>
          <w:rFonts w:ascii="Times New Roman" w:eastAsia="Times New Roman" w:hAnsi="Times New Roman" w:cs="Times New Roman"/>
          <w:spacing w:val="-5"/>
          <w:sz w:val="24"/>
          <w:szCs w:val="24"/>
        </w:rPr>
        <w:t xml:space="preserve"> tunne, usaldus.</w:t>
      </w:r>
    </w:p>
    <w:p w14:paraId="3AB0D643" w14:textId="77777777" w:rsidR="000831A7" w:rsidRPr="00444B21" w:rsidRDefault="000831A7" w:rsidP="000831A7">
      <w:pPr>
        <w:shd w:val="clear" w:color="auto" w:fill="FFFFFF"/>
        <w:spacing w:before="120" w:after="120"/>
        <w:jc w:val="both"/>
        <w:rPr>
          <w:rFonts w:ascii="Times New Roman" w:eastAsia="Times New Roman" w:hAnsi="Times New Roman" w:cs="Times New Roman"/>
          <w:b/>
          <w:spacing w:val="-5"/>
          <w:sz w:val="24"/>
          <w:szCs w:val="24"/>
        </w:rPr>
      </w:pPr>
      <w:r w:rsidRPr="00444B21">
        <w:rPr>
          <w:rFonts w:ascii="Times New Roman" w:eastAsia="Times New Roman" w:hAnsi="Times New Roman" w:cs="Times New Roman"/>
          <w:b/>
          <w:spacing w:val="-5"/>
          <w:sz w:val="24"/>
          <w:szCs w:val="24"/>
        </w:rPr>
        <w:t xml:space="preserve">Oleme seisukohal, et huvitegevus ja huviharidus mõjutavad inimest kogu elukaare vältel (alates väikelaste huviringidest kuni eakate huvitegevuseni), seda nii isiksuse arengu, karjäärivaliku kui ka loovuse ning eneseväljenduse </w:t>
      </w:r>
      <w:proofErr w:type="spellStart"/>
      <w:r w:rsidRPr="00444B21">
        <w:rPr>
          <w:rFonts w:ascii="Times New Roman" w:eastAsia="Times New Roman" w:hAnsi="Times New Roman" w:cs="Times New Roman"/>
          <w:b/>
          <w:spacing w:val="-5"/>
          <w:sz w:val="24"/>
          <w:szCs w:val="24"/>
        </w:rPr>
        <w:t>võimaldajana</w:t>
      </w:r>
      <w:proofErr w:type="spellEnd"/>
      <w:r w:rsidRPr="00444B21">
        <w:rPr>
          <w:rFonts w:ascii="Times New Roman" w:eastAsia="Times New Roman" w:hAnsi="Times New Roman" w:cs="Times New Roman"/>
          <w:b/>
          <w:spacing w:val="-5"/>
          <w:sz w:val="24"/>
          <w:szCs w:val="24"/>
        </w:rPr>
        <w:t xml:space="preserve">, samuti tervise ja heaolu allikana. </w:t>
      </w:r>
      <w:r w:rsidRPr="0062179C">
        <w:rPr>
          <w:rFonts w:ascii="Times New Roman" w:eastAsia="Times New Roman" w:hAnsi="Times New Roman" w:cs="Times New Roman"/>
          <w:b/>
          <w:spacing w:val="-5"/>
          <w:sz w:val="24"/>
          <w:szCs w:val="24"/>
        </w:rPr>
        <w:t xml:space="preserve">Seetõttu on oluline, et suudaksime tagada huvihariduse ja huvitegevuse valdkonnas jätkusuutlikkuse ning juba kavandatu ellu viia vaatamata sellele, et valdkond on olnud haavatav alates COVID-19 epideemiast kuni tänaseni oluliselt muutunud julgeoleku- ja majandusolukorra tingimustes. </w:t>
      </w:r>
    </w:p>
    <w:p w14:paraId="25298F5A" w14:textId="53B017FC" w:rsidR="000831A7" w:rsidRPr="0062179C" w:rsidRDefault="000831A7" w:rsidP="000831A7">
      <w:pPr>
        <w:shd w:val="clear" w:color="auto" w:fill="FFFFFF"/>
        <w:spacing w:before="120" w:after="120"/>
        <w:jc w:val="both"/>
        <w:rPr>
          <w:rFonts w:ascii="Times New Roman" w:eastAsia="Times New Roman" w:hAnsi="Times New Roman" w:cs="Times New Roman"/>
          <w:b/>
          <w:spacing w:val="-5"/>
          <w:sz w:val="24"/>
          <w:szCs w:val="24"/>
        </w:rPr>
      </w:pPr>
      <w:r w:rsidRPr="0062179C">
        <w:rPr>
          <w:rFonts w:ascii="Times New Roman" w:eastAsia="Times New Roman" w:hAnsi="Times New Roman" w:cs="Times New Roman"/>
          <w:b/>
          <w:spacing w:val="-5"/>
          <w:sz w:val="24"/>
          <w:szCs w:val="24"/>
        </w:rPr>
        <w:t xml:space="preserve">Samas on selge, et kõike korraga ei saa ning muutunud olukord nõuab plaanide üle vaatamist ning vajadusel korrigeerimist. Seda silmas pidades toome järgnevalt välja, </w:t>
      </w:r>
      <w:r w:rsidR="00DA0E85">
        <w:rPr>
          <w:rFonts w:ascii="Times New Roman" w:eastAsia="Times New Roman" w:hAnsi="Times New Roman" w:cs="Times New Roman"/>
          <w:b/>
          <w:spacing w:val="-5"/>
          <w:sz w:val="24"/>
          <w:szCs w:val="24"/>
        </w:rPr>
        <w:t xml:space="preserve">millele eelkõige tähelepanu pöörata ja </w:t>
      </w:r>
      <w:r w:rsidRPr="0062179C">
        <w:rPr>
          <w:rFonts w:ascii="Times New Roman" w:eastAsia="Times New Roman" w:hAnsi="Times New Roman" w:cs="Times New Roman"/>
          <w:b/>
          <w:spacing w:val="-5"/>
          <w:sz w:val="24"/>
          <w:szCs w:val="24"/>
        </w:rPr>
        <w:t>mida peame oluliseks valdkonnas tegevuste kavandamisel ja korraldamise</w:t>
      </w:r>
      <w:r w:rsidR="00DA0E85">
        <w:rPr>
          <w:rFonts w:ascii="Times New Roman" w:eastAsia="Times New Roman" w:hAnsi="Times New Roman" w:cs="Times New Roman"/>
          <w:b/>
          <w:spacing w:val="-5"/>
          <w:sz w:val="24"/>
          <w:szCs w:val="24"/>
        </w:rPr>
        <w:t>l.</w:t>
      </w:r>
    </w:p>
    <w:p w14:paraId="64A8D81E"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
          <w:bCs/>
          <w:iCs/>
          <w:sz w:val="24"/>
          <w:szCs w:val="24"/>
        </w:rPr>
        <w:t>Riigi pikaajaline strateegia</w:t>
      </w:r>
      <w:r w:rsidRPr="00444B21">
        <w:rPr>
          <w:rFonts w:ascii="Times New Roman" w:hAnsi="Times New Roman" w:cs="Times New Roman"/>
          <w:bCs/>
          <w:iCs/>
          <w:sz w:val="24"/>
          <w:szCs w:val="24"/>
        </w:rPr>
        <w:t xml:space="preserve"> </w:t>
      </w:r>
      <w:r w:rsidRPr="00444B21">
        <w:rPr>
          <w:rFonts w:ascii="Times New Roman" w:hAnsi="Times New Roman" w:cs="Times New Roman"/>
          <w:b/>
          <w:bCs/>
          <w:iCs/>
          <w:sz w:val="24"/>
          <w:szCs w:val="24"/>
        </w:rPr>
        <w:t>Eesti 2035</w:t>
      </w:r>
      <w:r w:rsidRPr="00444B21">
        <w:rPr>
          <w:rStyle w:val="Allmrkuseviide"/>
          <w:rFonts w:ascii="Times New Roman" w:hAnsi="Times New Roman" w:cs="Times New Roman"/>
          <w:b/>
          <w:bCs/>
          <w:iCs/>
          <w:sz w:val="24"/>
          <w:szCs w:val="24"/>
        </w:rPr>
        <w:footnoteReference w:id="1"/>
      </w:r>
      <w:r w:rsidRPr="00444B21">
        <w:rPr>
          <w:rFonts w:ascii="Times New Roman" w:hAnsi="Times New Roman" w:cs="Times New Roman"/>
          <w:b/>
          <w:bCs/>
          <w:iCs/>
          <w:sz w:val="24"/>
          <w:szCs w:val="24"/>
        </w:rPr>
        <w:t>,</w:t>
      </w:r>
      <w:r w:rsidRPr="00444B21">
        <w:rPr>
          <w:rFonts w:ascii="Times New Roman" w:hAnsi="Times New Roman" w:cs="Times New Roman"/>
          <w:bCs/>
          <w:iCs/>
          <w:sz w:val="24"/>
          <w:szCs w:val="24"/>
        </w:rPr>
        <w:t xml:space="preserve"> on Riigikogus heaks kiidetud 12. mail 2021. Strateegia toetab elukaare põhist lähenemist ja toob välja ka olulised kitsaskohad- inimestel tuleb kohaneda vajadusega õppida juurde terve elukaare jooksul ning olla valmis erialavahetuseks. Samas osalevad elukestvas õppes praegu vähem just need, kes seda enim vajaksid (madalama haridustasemega inimesed ja vanemaealised). Elukestvas õppes osalemises on märgatav lõhe </w:t>
      </w:r>
      <w:proofErr w:type="spellStart"/>
      <w:r w:rsidRPr="00444B21">
        <w:rPr>
          <w:rFonts w:ascii="Times New Roman" w:hAnsi="Times New Roman" w:cs="Times New Roman"/>
          <w:bCs/>
          <w:iCs/>
          <w:sz w:val="24"/>
          <w:szCs w:val="24"/>
        </w:rPr>
        <w:t>rahvuseti</w:t>
      </w:r>
      <w:proofErr w:type="spellEnd"/>
      <w:r w:rsidRPr="00444B21">
        <w:rPr>
          <w:rFonts w:ascii="Times New Roman" w:hAnsi="Times New Roman" w:cs="Times New Roman"/>
          <w:bCs/>
          <w:iCs/>
          <w:sz w:val="24"/>
          <w:szCs w:val="24"/>
        </w:rPr>
        <w:t xml:space="preserve"> (täiskasvanutest täiendab end 22,1% eestlastest, aga vaid 16,1% teisest rahvusest elanikest) ja piirkonniti (Põhja-Eestis täiendab end 23,4% tööealisest elanikkonnast, samal ajal Kesk-Eestis 15,3%, Kirde-Eestis 16,1%, Lääne-Eestis 16,3% ja Lõuna-Eestis 18,9%).</w:t>
      </w:r>
    </w:p>
    <w:p w14:paraId="3C77F334"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Cs/>
          <w:iCs/>
          <w:sz w:val="24"/>
          <w:szCs w:val="24"/>
        </w:rPr>
        <w:t>Strateegias sisalduvad järgmised tegevussuunad:</w:t>
      </w:r>
    </w:p>
    <w:p w14:paraId="60B9F8D7"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 xml:space="preserve">Tagada õpivõimaluste rohkuse ja kättesaadavuse, sujuva ja paindliku liikumise haridustasemete ja -liikide vahel ning nüüdisaegse õpikäsitluse põhimõtete </w:t>
      </w:r>
      <w:r w:rsidRPr="00444B21">
        <w:rPr>
          <w:rFonts w:ascii="Times New Roman" w:hAnsi="Times New Roman" w:cs="Times New Roman"/>
          <w:sz w:val="24"/>
          <w:szCs w:val="24"/>
        </w:rPr>
        <w:lastRenderedPageBreak/>
        <w:t>rakendamise tagamaks võimalikult õppijast lähtuva lähenemise, mis toetab ennast juhtiva õppuri kujunemist ja iga inimese potentsiaali maksimaalset rakendamist.</w:t>
      </w:r>
    </w:p>
    <w:p w14:paraId="598C3FF9"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Oluline on laiendada ja soodustada loodus- ja täppisteaduste, tehnoloogiavaldkonna ja loovainete lõimitud õppe võimalusi ning tagada nende õpetamiseks vajalike õpetajate järelkasv kõikidel haridustasemetel ja ka huvihariduses.</w:t>
      </w:r>
    </w:p>
    <w:p w14:paraId="747F1490" w14:textId="77777777" w:rsidR="000831A7" w:rsidRPr="00444B21" w:rsidRDefault="000831A7" w:rsidP="000831A7">
      <w:pPr>
        <w:pStyle w:val="Loendilik"/>
        <w:numPr>
          <w:ilvl w:val="0"/>
          <w:numId w:val="2"/>
        </w:numPr>
        <w:spacing w:before="120" w:after="120"/>
        <w:jc w:val="both"/>
        <w:rPr>
          <w:rFonts w:ascii="Times New Roman" w:hAnsi="Times New Roman" w:cs="Times New Roman"/>
          <w:sz w:val="24"/>
          <w:szCs w:val="24"/>
        </w:rPr>
      </w:pPr>
      <w:r w:rsidRPr="00444B21">
        <w:rPr>
          <w:rFonts w:ascii="Times New Roman" w:hAnsi="Times New Roman" w:cs="Times New Roman"/>
          <w:sz w:val="24"/>
          <w:szCs w:val="24"/>
        </w:rPr>
        <w:t>Uuendada täiskasvanuhariduse süsteemi (sh kombineeritud rahastamismudeli ja kvaliteedi tagamise põhimõtete väljatöötamine, maksu- ja toetussüsteemide muudatused, kultuuriasutuste võrgu kaasamine), et tagada valmisolek tulevikutööks ning kohanemine majanduse struktuurimuutustega.</w:t>
      </w:r>
    </w:p>
    <w:p w14:paraId="4A44C1BC"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Huviharidus ja huvitegevus kui informaalõpe ja mitteformaalõpe</w:t>
      </w:r>
      <w:r w:rsidRPr="00444B21">
        <w:rPr>
          <w:rStyle w:val="Allmrkuseviide"/>
          <w:rFonts w:ascii="Times New Roman" w:eastAsia="Times New Roman" w:hAnsi="Times New Roman" w:cs="Times New Roman"/>
          <w:sz w:val="24"/>
          <w:szCs w:val="24"/>
        </w:rPr>
        <w:footnoteReference w:id="2"/>
      </w:r>
      <w:r w:rsidRPr="00444B21">
        <w:rPr>
          <w:rFonts w:ascii="Times New Roman" w:eastAsia="Times New Roman" w:hAnsi="Times New Roman" w:cs="Times New Roman"/>
          <w:sz w:val="24"/>
          <w:szCs w:val="24"/>
        </w:rPr>
        <w:t xml:space="preserve"> leiab täpsemat defineerimist </w:t>
      </w:r>
      <w:proofErr w:type="spellStart"/>
      <w:r w:rsidRPr="00444B21">
        <w:rPr>
          <w:rFonts w:ascii="Times New Roman" w:eastAsia="Times New Roman" w:hAnsi="Times New Roman" w:cs="Times New Roman"/>
          <w:b/>
          <w:sz w:val="24"/>
          <w:szCs w:val="24"/>
        </w:rPr>
        <w:t>Noortevaldkonna</w:t>
      </w:r>
      <w:proofErr w:type="spellEnd"/>
      <w:r w:rsidRPr="00444B21">
        <w:rPr>
          <w:rFonts w:ascii="Times New Roman" w:eastAsia="Times New Roman" w:hAnsi="Times New Roman" w:cs="Times New Roman"/>
          <w:b/>
          <w:sz w:val="24"/>
          <w:szCs w:val="24"/>
        </w:rPr>
        <w:t xml:space="preserve"> arengukavas 2021-2035</w:t>
      </w:r>
      <w:r w:rsidRPr="00444B21">
        <w:rPr>
          <w:rFonts w:ascii="Times New Roman" w:eastAsia="Times New Roman" w:hAnsi="Times New Roman" w:cs="Times New Roman"/>
          <w:sz w:val="24"/>
          <w:szCs w:val="24"/>
        </w:rPr>
        <w:t>.</w:t>
      </w:r>
      <w:r w:rsidRPr="00444B21">
        <w:rPr>
          <w:rStyle w:val="Allmrkuseviide"/>
          <w:rFonts w:ascii="Times New Roman" w:eastAsia="Times New Roman" w:hAnsi="Times New Roman" w:cs="Times New Roman"/>
          <w:sz w:val="24"/>
          <w:szCs w:val="24"/>
        </w:rPr>
        <w:footnoteReference w:id="3"/>
      </w:r>
    </w:p>
    <w:p w14:paraId="4AC93904" w14:textId="77777777" w:rsidR="000831A7" w:rsidRPr="00444B21" w:rsidRDefault="000831A7" w:rsidP="000831A7">
      <w:pPr>
        <w:spacing w:before="120" w:after="120"/>
        <w:jc w:val="both"/>
        <w:rPr>
          <w:rFonts w:ascii="Times New Roman" w:eastAsia="Times New Roman" w:hAnsi="Times New Roman" w:cs="Times New Roman"/>
          <w:b/>
          <w:sz w:val="24"/>
          <w:szCs w:val="24"/>
        </w:rPr>
      </w:pPr>
      <w:r w:rsidRPr="00444B21">
        <w:rPr>
          <w:rFonts w:ascii="Times New Roman" w:eastAsia="Times New Roman" w:hAnsi="Times New Roman" w:cs="Times New Roman"/>
          <w:b/>
          <w:sz w:val="24"/>
          <w:szCs w:val="24"/>
        </w:rPr>
        <w:t xml:space="preserve">Kuigi antud arengukava kontekstis on mõisted sisustatud lähtudes </w:t>
      </w:r>
      <w:proofErr w:type="spellStart"/>
      <w:r w:rsidRPr="00444B21">
        <w:rPr>
          <w:rFonts w:ascii="Times New Roman" w:eastAsia="Times New Roman" w:hAnsi="Times New Roman" w:cs="Times New Roman"/>
          <w:b/>
          <w:sz w:val="24"/>
          <w:szCs w:val="24"/>
        </w:rPr>
        <w:t>noortevaldkonnast</w:t>
      </w:r>
      <w:proofErr w:type="spellEnd"/>
      <w:r w:rsidRPr="00444B21">
        <w:rPr>
          <w:rFonts w:ascii="Times New Roman" w:eastAsia="Times New Roman" w:hAnsi="Times New Roman" w:cs="Times New Roman"/>
          <w:b/>
          <w:sz w:val="24"/>
          <w:szCs w:val="24"/>
        </w:rPr>
        <w:t xml:space="preserve">, kehtivad samad põhimõtted meie hinnangul </w:t>
      </w:r>
      <w:r w:rsidRPr="00444B21">
        <w:rPr>
          <w:rFonts w:ascii="Times New Roman" w:eastAsia="Times New Roman" w:hAnsi="Times New Roman" w:cs="Times New Roman"/>
          <w:b/>
          <w:sz w:val="24"/>
          <w:szCs w:val="24"/>
          <w:u w:val="single"/>
        </w:rPr>
        <w:t>kogu elukaart hõlmava</w:t>
      </w:r>
      <w:r w:rsidRPr="00444B21">
        <w:rPr>
          <w:rFonts w:ascii="Times New Roman" w:eastAsia="Times New Roman" w:hAnsi="Times New Roman" w:cs="Times New Roman"/>
          <w:b/>
          <w:sz w:val="24"/>
          <w:szCs w:val="24"/>
        </w:rPr>
        <w:t xml:space="preserve"> huvitegevuse ja huvihariduse mõtestamisel ning seega tuleb kogu teemat käsitleda laiemalt.</w:t>
      </w:r>
    </w:p>
    <w:p w14:paraId="249D21A0" w14:textId="77777777" w:rsidR="000831A7" w:rsidRPr="00444B21" w:rsidRDefault="000831A7" w:rsidP="000831A7">
      <w:pPr>
        <w:pStyle w:val="Loendilik"/>
        <w:numPr>
          <w:ilvl w:val="0"/>
          <w:numId w:val="3"/>
        </w:numPr>
        <w:spacing w:before="120" w:after="120"/>
        <w:ind w:left="714" w:hanging="357"/>
        <w:contextualSpacing w:val="0"/>
        <w:jc w:val="both"/>
        <w:rPr>
          <w:rFonts w:ascii="Times New Roman" w:hAnsi="Times New Roman" w:cs="Times New Roman"/>
          <w:b/>
          <w:sz w:val="24"/>
          <w:szCs w:val="24"/>
        </w:rPr>
      </w:pPr>
      <w:r w:rsidRPr="00444B21">
        <w:rPr>
          <w:rFonts w:ascii="Times New Roman" w:hAnsi="Times New Roman" w:cs="Times New Roman"/>
          <w:sz w:val="24"/>
          <w:szCs w:val="24"/>
        </w:rPr>
        <w:t xml:space="preserve">Huvitegevuse peamiseks eesmärgiks on sihtgrupi kaasamine, sotsiaalsete ja </w:t>
      </w:r>
      <w:proofErr w:type="spellStart"/>
      <w:r w:rsidRPr="00444B21">
        <w:rPr>
          <w:rFonts w:ascii="Times New Roman" w:hAnsi="Times New Roman" w:cs="Times New Roman"/>
          <w:sz w:val="24"/>
          <w:szCs w:val="24"/>
        </w:rPr>
        <w:t>üldoskuste</w:t>
      </w:r>
      <w:proofErr w:type="spellEnd"/>
      <w:r w:rsidRPr="00444B21">
        <w:rPr>
          <w:rFonts w:ascii="Times New Roman" w:hAnsi="Times New Roman" w:cs="Times New Roman"/>
          <w:sz w:val="24"/>
          <w:szCs w:val="24"/>
        </w:rPr>
        <w:t xml:space="preserve"> arendamine, huvi äratamine läbi huviala tegevuste ja õppe. Osalejateks on erinevate huvialadega katsetajad, sobiva huvi otsijad. Suur osa huvitegevusest toimub koolikeskkonnas nii üldhariduskoolide kui kutsekoolide noorsootöö raames, lisaks ringitegevusena nt huvikeskuses, huvikoolis, spordiklubis, noortekeskuses, rahvamajas, jne. Koolides korraldab noorsootööd peamiselt huvijuht või muu nimetusega kooli noorsootöötaja koos õpilasesinduse ja ringijuhtidega.</w:t>
      </w:r>
    </w:p>
    <w:p w14:paraId="3B1FC26E" w14:textId="77777777" w:rsidR="000831A7" w:rsidRPr="00444B21" w:rsidRDefault="000831A7" w:rsidP="000831A7">
      <w:pPr>
        <w:pStyle w:val="Loendilik"/>
        <w:numPr>
          <w:ilvl w:val="0"/>
          <w:numId w:val="3"/>
        </w:numPr>
        <w:spacing w:before="120" w:after="120"/>
        <w:ind w:left="714" w:hanging="357"/>
        <w:contextualSpacing w:val="0"/>
        <w:jc w:val="both"/>
        <w:rPr>
          <w:rFonts w:ascii="Times New Roman" w:hAnsi="Times New Roman" w:cs="Times New Roman"/>
          <w:sz w:val="24"/>
          <w:szCs w:val="24"/>
        </w:rPr>
      </w:pPr>
      <w:r w:rsidRPr="00444B21">
        <w:rPr>
          <w:rFonts w:ascii="Times New Roman" w:hAnsi="Times New Roman" w:cs="Times New Roman"/>
          <w:sz w:val="24"/>
          <w:szCs w:val="24"/>
        </w:rPr>
        <w:t xml:space="preserve">Huviharidust antakse huvikoolides huvikooli seaduse alusel. Osalejateks on konkreetsest huvialast huvitatud, järjepidevad huviala õppijad. Õppetegevuse peamiseks eesmärgiks on pakkuda sihtgrupile süsteemset õpet vastaval huvialal ning arendada erioskusi, läbi mille luuakse võimalusi isiksuse mitmekülgseks arenguks ning toetatakse noore kujunemist hästi toimetulevaks ühiskonnaliikmeks. Ühtlasi toetab noorte huviharidus Eesti kultuuri- ja sporditraditsioonide, tehnoloogilise arengu ja keskkonna jätkusuutlikkust ning paikkondlike traditsioonide arengut. Noorte huviharidust viiakse läbi </w:t>
      </w:r>
      <w:proofErr w:type="spellStart"/>
      <w:r w:rsidRPr="00444B21">
        <w:rPr>
          <w:rFonts w:ascii="Times New Roman" w:hAnsi="Times New Roman" w:cs="Times New Roman"/>
          <w:sz w:val="24"/>
          <w:szCs w:val="24"/>
        </w:rPr>
        <w:t>EHIS-es</w:t>
      </w:r>
      <w:proofErr w:type="spellEnd"/>
      <w:r w:rsidRPr="00444B21">
        <w:rPr>
          <w:rFonts w:ascii="Times New Roman" w:hAnsi="Times New Roman" w:cs="Times New Roman"/>
          <w:sz w:val="24"/>
          <w:szCs w:val="24"/>
        </w:rPr>
        <w:t xml:space="preserve"> registreeritud huvikoolides õppekava alusel, mille läbiviijaks on vastava kvalifikatsiooniga huvihariduse õpetajad ja juhendajad.</w:t>
      </w:r>
    </w:p>
    <w:p w14:paraId="4C72BE7E" w14:textId="15FE2333"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 xml:space="preserve">19.-20. septembril 2019 aastal toimunud </w:t>
      </w:r>
      <w:r w:rsidRPr="00444B21">
        <w:rPr>
          <w:rFonts w:ascii="Times New Roman" w:eastAsia="Times New Roman" w:hAnsi="Times New Roman" w:cs="Times New Roman"/>
          <w:b/>
          <w:sz w:val="24"/>
          <w:szCs w:val="24"/>
        </w:rPr>
        <w:t>Eesti IV omavalitsuspäeval</w:t>
      </w:r>
      <w:r w:rsidRPr="00444B21">
        <w:rPr>
          <w:rFonts w:ascii="Times New Roman" w:eastAsia="Times New Roman" w:hAnsi="Times New Roman" w:cs="Times New Roman"/>
          <w:sz w:val="24"/>
          <w:szCs w:val="24"/>
        </w:rPr>
        <w:t xml:space="preserve"> Pärnus teemal „Haridus, teadus ja ettevõtlus – tee tulevikku“ deklaratsiooni kandvaks </w:t>
      </w:r>
      <w:r w:rsidRPr="00444B21">
        <w:rPr>
          <w:rFonts w:ascii="Times New Roman" w:eastAsia="Times New Roman" w:hAnsi="Times New Roman" w:cs="Times New Roman"/>
          <w:b/>
          <w:sz w:val="24"/>
          <w:szCs w:val="24"/>
        </w:rPr>
        <w:t xml:space="preserve">tuumikideeks oli, et tulevik sõltub haridusest ja sellest, kuidas haridussüsteem toimib. </w:t>
      </w:r>
      <w:r w:rsidRPr="00444B21">
        <w:rPr>
          <w:rFonts w:ascii="Times New Roman" w:eastAsia="Times New Roman" w:hAnsi="Times New Roman" w:cs="Times New Roman"/>
          <w:sz w:val="24"/>
          <w:szCs w:val="24"/>
        </w:rPr>
        <w:t xml:space="preserve">Haridusstrateegiates  on vaja üle vaadata, milline peaks olema kohaliku omavalitsuse roll meie haridussüsteemis ning haridussüsteemi roll kohaliku omavalitsuse ja riigi tasandil. Vajame eesmärgipärast ja toimivat ning omavahel integreeritud hariduse, teaduse ja ettevõtluse süsteemi.  </w:t>
      </w:r>
    </w:p>
    <w:p w14:paraId="6902BB04" w14:textId="77777777" w:rsidR="000831A7" w:rsidRPr="00444B21" w:rsidRDefault="000831A7" w:rsidP="000831A7">
      <w:pPr>
        <w:spacing w:before="120" w:after="120"/>
        <w:jc w:val="both"/>
        <w:rPr>
          <w:rFonts w:ascii="Times New Roman" w:hAnsi="Times New Roman" w:cs="Times New Roman"/>
          <w:bCs/>
          <w:iCs/>
          <w:sz w:val="24"/>
          <w:szCs w:val="24"/>
        </w:rPr>
      </w:pPr>
      <w:r w:rsidRPr="00444B21">
        <w:rPr>
          <w:rFonts w:ascii="Times New Roman" w:hAnsi="Times New Roman" w:cs="Times New Roman"/>
          <w:bCs/>
          <w:iCs/>
          <w:sz w:val="24"/>
          <w:szCs w:val="24"/>
        </w:rPr>
        <w:t>Ilma kohaliku omavalitsuse panuseta jäävad strateegiadokumentides (Eesti 2035, „Hariduse arengukava 2021-2035“, „</w:t>
      </w:r>
      <w:proofErr w:type="spellStart"/>
      <w:r w:rsidRPr="00444B21">
        <w:rPr>
          <w:rFonts w:ascii="Times New Roman" w:hAnsi="Times New Roman" w:cs="Times New Roman"/>
          <w:bCs/>
          <w:iCs/>
          <w:sz w:val="24"/>
          <w:szCs w:val="24"/>
        </w:rPr>
        <w:t>Noortevaldkonna</w:t>
      </w:r>
      <w:proofErr w:type="spellEnd"/>
      <w:r w:rsidRPr="00444B21">
        <w:rPr>
          <w:rFonts w:ascii="Times New Roman" w:hAnsi="Times New Roman" w:cs="Times New Roman"/>
          <w:bCs/>
          <w:iCs/>
          <w:sz w:val="24"/>
          <w:szCs w:val="24"/>
        </w:rPr>
        <w:t xml:space="preserve"> arengukava 2021-2035“) sätestatud eesmärgid täitmata.</w:t>
      </w:r>
    </w:p>
    <w:p w14:paraId="28CD8117" w14:textId="77777777" w:rsidR="000831A7" w:rsidRPr="00444B21" w:rsidRDefault="000831A7" w:rsidP="000831A7">
      <w:pPr>
        <w:spacing w:before="120" w:after="120"/>
        <w:jc w:val="both"/>
        <w:rPr>
          <w:rFonts w:ascii="Times New Roman" w:eastAsia="Times New Roman" w:hAnsi="Times New Roman" w:cs="Times New Roman"/>
          <w:sz w:val="24"/>
          <w:szCs w:val="24"/>
        </w:rPr>
      </w:pPr>
      <w:r w:rsidRPr="00444B21">
        <w:rPr>
          <w:rFonts w:ascii="Times New Roman" w:eastAsia="Times New Roman" w:hAnsi="Times New Roman" w:cs="Times New Roman"/>
          <w:b/>
          <w:sz w:val="24"/>
          <w:szCs w:val="24"/>
        </w:rPr>
        <w:t>Kohalik omavalitsus tegeleb kõikide kohaliku elu küsimustega. Elukestva huvitegevuse ja huvihariduse korraldamine ja arendamine kohalikul tasandil on meie hinnangul üks kohaliku omavalitsuse tuumülesandeid</w:t>
      </w:r>
      <w:r w:rsidRPr="00444B21">
        <w:rPr>
          <w:rFonts w:ascii="Times New Roman" w:eastAsia="Times New Roman" w:hAnsi="Times New Roman" w:cs="Times New Roman"/>
          <w:sz w:val="24"/>
          <w:szCs w:val="24"/>
        </w:rPr>
        <w:t xml:space="preserve">. </w:t>
      </w:r>
    </w:p>
    <w:p w14:paraId="6EDE13C3" w14:textId="77777777" w:rsidR="000831A7" w:rsidRPr="00444B21" w:rsidRDefault="000831A7" w:rsidP="000831A7">
      <w:pPr>
        <w:spacing w:before="120" w:after="120"/>
        <w:jc w:val="both"/>
        <w:rPr>
          <w:rFonts w:ascii="Times New Roman" w:hAnsi="Times New Roman" w:cs="Times New Roman"/>
          <w:spacing w:val="3"/>
          <w:sz w:val="24"/>
          <w:szCs w:val="24"/>
          <w:shd w:val="clear" w:color="auto" w:fill="FFFFFF"/>
        </w:rPr>
      </w:pPr>
      <w:r w:rsidRPr="00444B21">
        <w:rPr>
          <w:rFonts w:ascii="Times New Roman" w:eastAsia="Times New Roman" w:hAnsi="Times New Roman" w:cs="Times New Roman"/>
          <w:sz w:val="24"/>
          <w:szCs w:val="24"/>
        </w:rPr>
        <w:t xml:space="preserve">Kohaliku omavalitsuse eesmärk on lähtuda elukaare ülesest vaatest, mõtestada, mida vald või linn </w:t>
      </w:r>
      <w:r w:rsidRPr="00444B21">
        <w:rPr>
          <w:rFonts w:ascii="Times New Roman" w:hAnsi="Times New Roman" w:cs="Times New Roman"/>
          <w:spacing w:val="3"/>
          <w:sz w:val="24"/>
          <w:szCs w:val="24"/>
          <w:shd w:val="clear" w:color="auto" w:fill="FFFFFF"/>
        </w:rPr>
        <w:t>saab kogukonna tasandil ja kogukonda kaasates teha, jälgida, et võimalusi pakutakse erinevaid eesmärke silmas pidades kõigile ühiskonnagruppidele, sh eriti haavatavatele. Neid võimalusi saavad pakkuda erinevad institutsioonid ja haaratud võivad olla erinevat tüüpi õppetegevused (sh huvitegevus, huviharidus).</w:t>
      </w:r>
    </w:p>
    <w:p w14:paraId="58A919D2" w14:textId="77777777" w:rsidR="000831A7" w:rsidRPr="00444B21" w:rsidRDefault="000831A7" w:rsidP="000831A7">
      <w:pPr>
        <w:spacing w:before="120" w:after="120"/>
        <w:jc w:val="both"/>
        <w:rPr>
          <w:rFonts w:ascii="Times New Roman" w:hAnsi="Times New Roman" w:cs="Times New Roman"/>
          <w:spacing w:val="3"/>
          <w:sz w:val="24"/>
          <w:szCs w:val="24"/>
          <w:shd w:val="clear" w:color="auto" w:fill="FFFFFF"/>
        </w:rPr>
      </w:pPr>
      <w:r w:rsidRPr="00444B21">
        <w:rPr>
          <w:rFonts w:ascii="Times New Roman" w:hAnsi="Times New Roman" w:cs="Times New Roman"/>
          <w:spacing w:val="3"/>
          <w:sz w:val="24"/>
          <w:szCs w:val="24"/>
          <w:shd w:val="clear" w:color="auto" w:fill="FFFFFF"/>
        </w:rPr>
        <w:t xml:space="preserve">Inimeste jaoks on oluline omada võimalusi ise otsustada kuidas eneseareng võiks kulgeda, kuidas jaotada seda tööalaste kompetentside, huvist lähtuvate ja ühiskondlikult tähtsaks peetavate õpitegevuste vahel. </w:t>
      </w:r>
    </w:p>
    <w:p w14:paraId="6A508266" w14:textId="77777777" w:rsidR="000831A7" w:rsidRPr="00444B21" w:rsidRDefault="000831A7" w:rsidP="000831A7">
      <w:pPr>
        <w:spacing w:before="120" w:after="120"/>
        <w:jc w:val="both"/>
        <w:rPr>
          <w:rFonts w:ascii="Times New Roman" w:hAnsi="Times New Roman" w:cs="Times New Roman"/>
          <w:b/>
          <w:spacing w:val="3"/>
          <w:sz w:val="24"/>
          <w:szCs w:val="24"/>
          <w:shd w:val="clear" w:color="auto" w:fill="FFFFFF"/>
        </w:rPr>
      </w:pPr>
      <w:r w:rsidRPr="00444B21">
        <w:rPr>
          <w:rFonts w:ascii="Times New Roman" w:hAnsi="Times New Roman" w:cs="Times New Roman"/>
          <w:b/>
          <w:spacing w:val="3"/>
          <w:sz w:val="24"/>
          <w:szCs w:val="24"/>
          <w:shd w:val="clear" w:color="auto" w:fill="FFFFFF"/>
        </w:rPr>
        <w:t>II</w:t>
      </w:r>
      <w:r w:rsidRPr="00444B21">
        <w:rPr>
          <w:rFonts w:ascii="Times New Roman" w:hAnsi="Times New Roman" w:cs="Times New Roman"/>
          <w:b/>
          <w:spacing w:val="3"/>
          <w:sz w:val="24"/>
          <w:szCs w:val="24"/>
          <w:shd w:val="clear" w:color="auto" w:fill="FFFFFF"/>
        </w:rPr>
        <w:tab/>
      </w:r>
      <w:r w:rsidRPr="00444B21">
        <w:rPr>
          <w:rFonts w:ascii="Times New Roman" w:eastAsia="Times New Roman" w:hAnsi="Times New Roman" w:cs="Times New Roman"/>
          <w:b/>
          <w:sz w:val="24"/>
          <w:szCs w:val="24"/>
        </w:rPr>
        <w:t>Huvitegevuse ja huvihariduse arendamisel ja toetamisel peame oluliseks tugineda järgmistele seisukohtadele</w:t>
      </w:r>
    </w:p>
    <w:p w14:paraId="2DA77F96" w14:textId="3FE62F8D" w:rsidR="000831A7" w:rsidRDefault="000831A7" w:rsidP="00DA0E85">
      <w:pPr>
        <w:pStyle w:val="Loendilik"/>
        <w:numPr>
          <w:ilvl w:val="0"/>
          <w:numId w:val="6"/>
        </w:numPr>
        <w:pBdr>
          <w:top w:val="nil"/>
          <w:left w:val="nil"/>
          <w:bottom w:val="nil"/>
          <w:right w:val="nil"/>
          <w:between w:val="nil"/>
        </w:pBd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Edukas huvitegevuse- ja huvihariduspoliitika ning lõimimine eeldavad igakülgset koostööd riigi, kohaliku omavalitsuse, haridusasutuste, ettevõtjate, erialaorganisatsioonide, kolmanda sektori ja teiste osapoolte vahel.</w:t>
      </w:r>
    </w:p>
    <w:p w14:paraId="7CBAFEA0" w14:textId="77777777" w:rsidR="00DA0E85" w:rsidRPr="00DA0E85" w:rsidRDefault="00DA0E85" w:rsidP="00DA0E85">
      <w:pPr>
        <w:pStyle w:val="Loendilik"/>
        <w:pBdr>
          <w:top w:val="nil"/>
          <w:left w:val="nil"/>
          <w:bottom w:val="nil"/>
          <w:right w:val="nil"/>
          <w:between w:val="nil"/>
        </w:pBdr>
        <w:spacing w:before="120" w:after="0"/>
        <w:jc w:val="both"/>
        <w:rPr>
          <w:rFonts w:ascii="Times New Roman" w:eastAsia="Times New Roman" w:hAnsi="Times New Roman" w:cs="Times New Roman"/>
          <w:sz w:val="24"/>
          <w:szCs w:val="24"/>
        </w:rPr>
      </w:pPr>
    </w:p>
    <w:p w14:paraId="0DD672FD" w14:textId="2CC72821" w:rsidR="000831A7"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Huvitegevus ja huviharidus kui haridusliigid tuleb elukestva õppe kontekstis nii riiklikul kui kohalikul tasandil rohkem eesmärgistada.</w:t>
      </w:r>
    </w:p>
    <w:p w14:paraId="18987825" w14:textId="77777777" w:rsidR="00DA0E85" w:rsidRPr="00DA0E85" w:rsidRDefault="00DA0E85" w:rsidP="00DA0E85">
      <w:pPr>
        <w:pStyle w:val="Loendilik"/>
        <w:rPr>
          <w:rFonts w:ascii="Times New Roman" w:eastAsia="Times New Roman" w:hAnsi="Times New Roman" w:cs="Times New Roman"/>
          <w:sz w:val="24"/>
          <w:szCs w:val="24"/>
        </w:rPr>
      </w:pPr>
    </w:p>
    <w:p w14:paraId="7706110C" w14:textId="126BAE5F" w:rsidR="000831A7"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Väärtustada enam huvihariduse ja -tegevuse valdkonnas tegutsevaid institutsioone ja isikuid. Kutsume ellu Harjumaa Aasta huvihariduse ja -tegevuse sündmuse ja/või isikute tunnustamise.</w:t>
      </w:r>
    </w:p>
    <w:p w14:paraId="3AA835E5" w14:textId="77777777" w:rsidR="00DA0E85" w:rsidRPr="00DA0E85" w:rsidRDefault="00DA0E85" w:rsidP="00DA0E85">
      <w:pPr>
        <w:pStyle w:val="Loendilik"/>
        <w:rPr>
          <w:rFonts w:ascii="Times New Roman" w:eastAsia="Times New Roman" w:hAnsi="Times New Roman" w:cs="Times New Roman"/>
          <w:sz w:val="24"/>
          <w:szCs w:val="24"/>
        </w:rPr>
      </w:pPr>
    </w:p>
    <w:p w14:paraId="3EC901F4" w14:textId="38D4BBC6" w:rsidR="000831A7" w:rsidRPr="00DA0E85"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hAnsi="Times New Roman" w:cs="Times New Roman"/>
          <w:spacing w:val="3"/>
          <w:sz w:val="24"/>
          <w:szCs w:val="24"/>
          <w:shd w:val="clear" w:color="auto" w:fill="FFFFFF"/>
        </w:rPr>
        <w:t>Kohaliku omavalitsuse tulubaas arvestab huvitegevuse ja huvihariduse jätkusuutlikkusega, sh võimaldab ja väärtustab juhendajate ja õpetajate rolli mille üheks oluliseks väljundiks on ka väärikas töötasu. Peame oluliseks, et vastav teema oleks nii riigi kui ka kohalike omavalitsuste arutelude fookuses, arvestades kohalike omavalitsuste erisusi.</w:t>
      </w:r>
    </w:p>
    <w:p w14:paraId="782C00DE" w14:textId="77777777" w:rsidR="00DA0E85" w:rsidRPr="00DA0E85" w:rsidRDefault="00DA0E85" w:rsidP="00DA0E85">
      <w:pPr>
        <w:pStyle w:val="Loendilik"/>
        <w:rPr>
          <w:rFonts w:ascii="Times New Roman" w:eastAsia="Times New Roman" w:hAnsi="Times New Roman" w:cs="Times New Roman"/>
          <w:sz w:val="24"/>
          <w:szCs w:val="24"/>
        </w:rPr>
      </w:pPr>
    </w:p>
    <w:p w14:paraId="405CCC93" w14:textId="1C36AAAF" w:rsidR="000831A7" w:rsidRPr="00DA0E85"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hAnsi="Times New Roman" w:cs="Times New Roman"/>
          <w:spacing w:val="3"/>
          <w:sz w:val="24"/>
          <w:szCs w:val="24"/>
          <w:shd w:val="clear" w:color="auto" w:fill="FFFFFF"/>
        </w:rPr>
        <w:t>Tegeleda elukestva talendiarenduse vaatega, mis järjest enam muutub oluliseks ka tööl informaalse õppimise ühe tegurina. Õppimine ja ande arendamine ei lõppe kindlasti lapsepõlves. Õpetajate-juhendajate pädevuste arendamist tuleb korraldada laiema koostööna kohaliku omavalitsuse ja ülikooli vahel.</w:t>
      </w:r>
    </w:p>
    <w:p w14:paraId="199762D6" w14:textId="77777777" w:rsidR="00DA0E85" w:rsidRPr="00DA0E85" w:rsidRDefault="00DA0E85" w:rsidP="00DA0E85">
      <w:pPr>
        <w:pStyle w:val="Loendilik"/>
        <w:rPr>
          <w:rFonts w:ascii="Times New Roman" w:eastAsia="Times New Roman" w:hAnsi="Times New Roman" w:cs="Times New Roman"/>
          <w:sz w:val="24"/>
          <w:szCs w:val="24"/>
        </w:rPr>
      </w:pPr>
    </w:p>
    <w:p w14:paraId="43210290" w14:textId="77777777" w:rsidR="000831A7" w:rsidRPr="00DA0E85"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Panustada kõigile kättesaadava haridustaristu rajamisse, mis toetab h</w:t>
      </w:r>
      <w:sdt>
        <w:sdtPr>
          <w:tag w:val="goog_rdk_17"/>
          <w:id w:val="-1549759818"/>
        </w:sdtPr>
        <w:sdtContent/>
      </w:sdt>
      <w:r w:rsidRPr="00DA0E85">
        <w:rPr>
          <w:rFonts w:ascii="Times New Roman" w:eastAsia="Times New Roman" w:hAnsi="Times New Roman" w:cs="Times New Roman"/>
          <w:sz w:val="24"/>
          <w:szCs w:val="24"/>
        </w:rPr>
        <w:t xml:space="preserve">uvihariduse ja huvitegevusega tegelemist ning annab vaba aja veetmise võimalused kogu elukaare vältel. </w:t>
      </w:r>
    </w:p>
    <w:p w14:paraId="646C1C03" w14:textId="4FD29C6D" w:rsidR="000831A7" w:rsidRDefault="000831A7" w:rsidP="00DA0E85">
      <w:pPr>
        <w:pStyle w:val="Loendilik"/>
        <w:numPr>
          <w:ilvl w:val="0"/>
          <w:numId w:val="6"/>
        </w:numPr>
        <w:spacing w:before="120" w:after="0"/>
        <w:jc w:val="both"/>
        <w:rPr>
          <w:rFonts w:ascii="Times New Roman" w:hAnsi="Times New Roman" w:cs="Times New Roman"/>
          <w:spacing w:val="3"/>
          <w:sz w:val="24"/>
          <w:szCs w:val="24"/>
          <w:shd w:val="clear" w:color="auto" w:fill="FFFFFF"/>
        </w:rPr>
      </w:pPr>
      <w:r w:rsidRPr="00DA0E85">
        <w:rPr>
          <w:rFonts w:ascii="Times New Roman" w:hAnsi="Times New Roman" w:cs="Times New Roman"/>
          <w:spacing w:val="3"/>
          <w:sz w:val="24"/>
          <w:szCs w:val="24"/>
          <w:shd w:val="clear" w:color="auto" w:fill="FFFFFF"/>
        </w:rPr>
        <w:t>Kohaliku omavalitsuse tasandil tuleb läbi mõelda ja kokku leppida, milline võiks olla tööandja roll toetada õppimist, tunnustada nii tööalast kui muud huvipõhist õppimist, väärtustades lõimimist. Linn või vald kui tööandja saab siin olla eeskujuks.</w:t>
      </w:r>
    </w:p>
    <w:p w14:paraId="5DC7EC38" w14:textId="77777777" w:rsidR="00DA0E85" w:rsidRDefault="00DA0E85" w:rsidP="00DA0E85">
      <w:pPr>
        <w:pStyle w:val="Loendilik"/>
        <w:spacing w:before="120" w:after="0"/>
        <w:jc w:val="both"/>
        <w:rPr>
          <w:rFonts w:ascii="Times New Roman" w:hAnsi="Times New Roman" w:cs="Times New Roman"/>
          <w:spacing w:val="3"/>
          <w:sz w:val="24"/>
          <w:szCs w:val="24"/>
          <w:shd w:val="clear" w:color="auto" w:fill="FFFFFF"/>
        </w:rPr>
      </w:pPr>
    </w:p>
    <w:p w14:paraId="6AEE2F51" w14:textId="77777777" w:rsidR="00DA0E85" w:rsidRDefault="000831A7" w:rsidP="00DA0E85">
      <w:pPr>
        <w:pStyle w:val="Loendilik"/>
        <w:numPr>
          <w:ilvl w:val="0"/>
          <w:numId w:val="6"/>
        </w:numPr>
        <w:pBdr>
          <w:top w:val="nil"/>
          <w:left w:val="nil"/>
          <w:bottom w:val="nil"/>
          <w:right w:val="nil"/>
          <w:between w:val="nil"/>
        </w:pBdr>
        <w:tabs>
          <w:tab w:val="left" w:pos="1416"/>
        </w:tabs>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 xml:space="preserve">Mõelda läbi huvihariduse ja huvitegevuse arendamise võimalused </w:t>
      </w:r>
      <w:proofErr w:type="spellStart"/>
      <w:r w:rsidRPr="00DA0E85">
        <w:rPr>
          <w:rFonts w:ascii="Times New Roman" w:eastAsia="Times New Roman" w:hAnsi="Times New Roman" w:cs="Times New Roman"/>
          <w:sz w:val="24"/>
          <w:szCs w:val="24"/>
        </w:rPr>
        <w:t>hajaasustuspiirkonnas</w:t>
      </w:r>
      <w:proofErr w:type="spellEnd"/>
      <w:r w:rsidRPr="00DA0E85">
        <w:rPr>
          <w:rFonts w:ascii="Times New Roman" w:eastAsia="Times New Roman" w:hAnsi="Times New Roman" w:cs="Times New Roman"/>
          <w:sz w:val="24"/>
          <w:szCs w:val="24"/>
        </w:rPr>
        <w:t xml:space="preserve"> sh toetada ühistranspordi võimekust keskusest kaugemates piirkondades huvitegevuse- ja huvihariduse kättesaadavuse parandamiseks.</w:t>
      </w:r>
    </w:p>
    <w:p w14:paraId="4E9A3235" w14:textId="77777777" w:rsidR="00DA0E85" w:rsidRPr="00DA0E85" w:rsidRDefault="00DA0E85" w:rsidP="00DA0E85">
      <w:pPr>
        <w:pStyle w:val="Loendilik"/>
        <w:rPr>
          <w:rFonts w:ascii="Times New Roman" w:eastAsia="Times New Roman" w:hAnsi="Times New Roman" w:cs="Times New Roman"/>
          <w:sz w:val="24"/>
          <w:szCs w:val="24"/>
        </w:rPr>
      </w:pPr>
    </w:p>
    <w:p w14:paraId="77EEDC34" w14:textId="30557D27" w:rsidR="000831A7" w:rsidRPr="00DA0E85"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hAnsi="Times New Roman" w:cs="Times New Roman"/>
          <w:spacing w:val="3"/>
          <w:sz w:val="24"/>
          <w:szCs w:val="24"/>
          <w:shd w:val="clear" w:color="auto" w:fill="FFFFFF"/>
        </w:rPr>
        <w:t>Kohaliku omavalitsuse poolt pakutavad huvihariduse ja huvitegevuse valikud, sellega kaasnev kaasamine kogukonna tegevustesse ja huvipõhine tegutsemine võimaldab mõjutada kodanikuaktiivsust ja loob osalustunnet-sidusust terves kogukonnas.</w:t>
      </w:r>
    </w:p>
    <w:p w14:paraId="06E0591D" w14:textId="77777777" w:rsidR="00DA0E85" w:rsidRPr="00DA0E85" w:rsidRDefault="00DA0E85" w:rsidP="00DA0E85">
      <w:pPr>
        <w:pStyle w:val="Loendilik"/>
        <w:rPr>
          <w:rFonts w:ascii="Times New Roman" w:eastAsia="Times New Roman" w:hAnsi="Times New Roman" w:cs="Times New Roman"/>
          <w:sz w:val="24"/>
          <w:szCs w:val="24"/>
        </w:rPr>
      </w:pPr>
    </w:p>
    <w:p w14:paraId="2182BB84" w14:textId="0BF0B291" w:rsidR="000831A7"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 xml:space="preserve">Laiendada kooli, sh riigigümnaasiumi rolli, kujundades koolidest kogukonna- ja elukestva õppe keskused. Integreerida üldharidus, huviharidus ja -tegevus ning noorsootöö üheks tervikuks luues nn </w:t>
      </w:r>
      <w:sdt>
        <w:sdtPr>
          <w:tag w:val="goog_rdk_19"/>
          <w:id w:val="-159857139"/>
        </w:sdtPr>
        <w:sdtContent/>
      </w:sdt>
      <w:r w:rsidRPr="00DA0E85">
        <w:rPr>
          <w:rFonts w:ascii="Times New Roman" w:eastAsia="Times New Roman" w:hAnsi="Times New Roman" w:cs="Times New Roman"/>
          <w:sz w:val="24"/>
          <w:szCs w:val="24"/>
        </w:rPr>
        <w:t>kogupäeva kool ja elukestva õppe keskuse.</w:t>
      </w:r>
    </w:p>
    <w:p w14:paraId="720F7BB4" w14:textId="77777777" w:rsidR="00DA0E85" w:rsidRPr="00DA0E85" w:rsidRDefault="00DA0E85" w:rsidP="00DA0E85">
      <w:pPr>
        <w:pStyle w:val="Loendilik"/>
        <w:rPr>
          <w:rFonts w:ascii="Times New Roman" w:eastAsia="Times New Roman" w:hAnsi="Times New Roman" w:cs="Times New Roman"/>
          <w:sz w:val="24"/>
          <w:szCs w:val="24"/>
        </w:rPr>
      </w:pPr>
    </w:p>
    <w:p w14:paraId="2F607DE9" w14:textId="6332F05A" w:rsidR="000831A7" w:rsidRDefault="000831A7" w:rsidP="00DA0E85">
      <w:pPr>
        <w:pStyle w:val="Loendilik"/>
        <w:numPr>
          <w:ilvl w:val="0"/>
          <w:numId w:val="6"/>
        </w:numPr>
        <w:pBdr>
          <w:top w:val="nil"/>
          <w:left w:val="nil"/>
          <w:bottom w:val="nil"/>
          <w:right w:val="nil"/>
          <w:between w:val="nil"/>
        </w:pBdr>
        <w:tabs>
          <w:tab w:val="left" w:pos="1416"/>
        </w:tabs>
        <w:spacing w:before="120" w:after="12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Pakkuda mitteõppivatele ja mittetöötavatele noortele (edaspidi NEET-noorte) senisest enam võimalusi koolitustel ja huvitegevuses osalemiseks, tõstmaks nende motivatsiooni ja tagasisuundumist haridusse või tööjõuturule. Toetada senisest enam ja laialdasemalt NEET-noorte perekondi ja sotsiaalseid võrgustikke, et suurendada nende oskust ja suutlikkust NEET-noori toetada.</w:t>
      </w:r>
    </w:p>
    <w:p w14:paraId="6D4E48CA" w14:textId="77777777" w:rsidR="00DA0E85" w:rsidRPr="00DA0E85" w:rsidRDefault="00DA0E85" w:rsidP="00DA0E85">
      <w:pPr>
        <w:pStyle w:val="Loendilik"/>
        <w:rPr>
          <w:rFonts w:ascii="Times New Roman" w:eastAsia="Times New Roman" w:hAnsi="Times New Roman" w:cs="Times New Roman"/>
          <w:sz w:val="24"/>
          <w:szCs w:val="24"/>
        </w:rPr>
      </w:pPr>
    </w:p>
    <w:p w14:paraId="23CB2E03" w14:textId="77777777" w:rsidR="000831A7" w:rsidRPr="00DA0E85" w:rsidRDefault="000831A7" w:rsidP="00DA0E85">
      <w:pPr>
        <w:pStyle w:val="Loendilik"/>
        <w:numPr>
          <w:ilvl w:val="0"/>
          <w:numId w:val="6"/>
        </w:numPr>
        <w:spacing w:before="120" w:after="0"/>
        <w:jc w:val="both"/>
        <w:rPr>
          <w:rFonts w:ascii="Times New Roman" w:eastAsia="Times New Roman" w:hAnsi="Times New Roman" w:cs="Times New Roman"/>
          <w:sz w:val="24"/>
          <w:szCs w:val="24"/>
        </w:rPr>
      </w:pPr>
      <w:r w:rsidRPr="00DA0E85">
        <w:rPr>
          <w:rFonts w:ascii="Times New Roman" w:eastAsia="Times New Roman" w:hAnsi="Times New Roman" w:cs="Times New Roman"/>
          <w:sz w:val="24"/>
          <w:szCs w:val="24"/>
        </w:rPr>
        <w:t>Arvestada huvihariduse ja huvitegevuse arendamisel teadlaste, ekspertide ja erialaorganisatsioonide arvamusi ja kaasata neid otsuste langetamisse.</w:t>
      </w:r>
    </w:p>
    <w:p w14:paraId="44B0DED0" w14:textId="77777777" w:rsidR="000831A7" w:rsidRPr="00444B21" w:rsidRDefault="000831A7" w:rsidP="000831A7">
      <w:pPr>
        <w:spacing w:before="120" w:after="0"/>
        <w:jc w:val="both"/>
        <w:rPr>
          <w:rFonts w:ascii="Times New Roman" w:eastAsia="Times New Roman" w:hAnsi="Times New Roman" w:cs="Times New Roman"/>
          <w:sz w:val="24"/>
          <w:szCs w:val="24"/>
        </w:rPr>
      </w:pPr>
    </w:p>
    <w:p w14:paraId="5060B478" w14:textId="77777777" w:rsidR="000831A7" w:rsidRPr="00444B21" w:rsidRDefault="000831A7" w:rsidP="000831A7">
      <w:pPr>
        <w:spacing w:before="120" w:after="0"/>
        <w:jc w:val="both"/>
        <w:rPr>
          <w:rFonts w:ascii="Times New Roman" w:eastAsia="Times New Roman" w:hAnsi="Times New Roman" w:cs="Times New Roman"/>
          <w:sz w:val="24"/>
          <w:szCs w:val="24"/>
        </w:rPr>
      </w:pPr>
    </w:p>
    <w:p w14:paraId="28F83071" w14:textId="77777777" w:rsidR="000831A7" w:rsidRPr="00444B21" w:rsidRDefault="000831A7" w:rsidP="000831A7">
      <w:pPr>
        <w:spacing w:before="120" w:after="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Harjumaa II Omavalitsuspäeval osalejad</w:t>
      </w:r>
    </w:p>
    <w:p w14:paraId="54673884" w14:textId="44E7935C" w:rsidR="000831A7" w:rsidRPr="00444B21" w:rsidRDefault="000831A7" w:rsidP="000831A7">
      <w:pPr>
        <w:spacing w:before="120" w:after="0"/>
        <w:jc w:val="both"/>
        <w:rPr>
          <w:rFonts w:ascii="Times New Roman" w:eastAsia="Times New Roman" w:hAnsi="Times New Roman" w:cs="Times New Roman"/>
          <w:sz w:val="24"/>
          <w:szCs w:val="24"/>
        </w:rPr>
      </w:pPr>
      <w:r w:rsidRPr="00444B21">
        <w:rPr>
          <w:rFonts w:ascii="Times New Roman" w:eastAsia="Times New Roman" w:hAnsi="Times New Roman" w:cs="Times New Roman"/>
          <w:sz w:val="24"/>
          <w:szCs w:val="24"/>
        </w:rPr>
        <w:t>Viimsis</w:t>
      </w:r>
      <w:r w:rsidR="00DA0E85">
        <w:rPr>
          <w:rFonts w:ascii="Times New Roman" w:eastAsia="Times New Roman" w:hAnsi="Times New Roman" w:cs="Times New Roman"/>
          <w:sz w:val="24"/>
          <w:szCs w:val="24"/>
        </w:rPr>
        <w:t>,</w:t>
      </w:r>
      <w:r w:rsidRPr="00444B21">
        <w:rPr>
          <w:rFonts w:ascii="Times New Roman" w:eastAsia="Times New Roman" w:hAnsi="Times New Roman" w:cs="Times New Roman"/>
          <w:sz w:val="24"/>
          <w:szCs w:val="24"/>
        </w:rPr>
        <w:t xml:space="preserve"> 21.</w:t>
      </w:r>
      <w:r>
        <w:rPr>
          <w:rFonts w:ascii="Times New Roman" w:eastAsia="Times New Roman" w:hAnsi="Times New Roman" w:cs="Times New Roman"/>
          <w:sz w:val="24"/>
          <w:szCs w:val="24"/>
        </w:rPr>
        <w:t xml:space="preserve"> oktoobril </w:t>
      </w:r>
      <w:r w:rsidRPr="00444B21">
        <w:rPr>
          <w:rFonts w:ascii="Times New Roman" w:eastAsia="Times New Roman" w:hAnsi="Times New Roman" w:cs="Times New Roman"/>
          <w:sz w:val="24"/>
          <w:szCs w:val="24"/>
        </w:rPr>
        <w:t>2022</w:t>
      </w:r>
      <w:r>
        <w:rPr>
          <w:rFonts w:ascii="Times New Roman" w:eastAsia="Times New Roman" w:hAnsi="Times New Roman" w:cs="Times New Roman"/>
          <w:sz w:val="24"/>
          <w:szCs w:val="24"/>
        </w:rPr>
        <w:t>. aastal</w:t>
      </w:r>
    </w:p>
    <w:p w14:paraId="4C29B195" w14:textId="77777777" w:rsidR="00243D51" w:rsidRDefault="00243D51"/>
    <w:sectPr w:rsidR="00243D51">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9AC0" w14:textId="77777777" w:rsidR="0042492B" w:rsidRDefault="0042492B" w:rsidP="000831A7">
      <w:pPr>
        <w:spacing w:after="0" w:line="240" w:lineRule="auto"/>
      </w:pPr>
      <w:r>
        <w:separator/>
      </w:r>
    </w:p>
  </w:endnote>
  <w:endnote w:type="continuationSeparator" w:id="0">
    <w:p w14:paraId="169AF4F1" w14:textId="77777777" w:rsidR="0042492B" w:rsidRDefault="0042492B" w:rsidP="0008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3155" w14:textId="77777777" w:rsidR="0042492B" w:rsidRDefault="0042492B" w:rsidP="000831A7">
      <w:pPr>
        <w:spacing w:after="0" w:line="240" w:lineRule="auto"/>
      </w:pPr>
      <w:r>
        <w:separator/>
      </w:r>
    </w:p>
  </w:footnote>
  <w:footnote w:type="continuationSeparator" w:id="0">
    <w:p w14:paraId="4D8F7DB7" w14:textId="77777777" w:rsidR="0042492B" w:rsidRDefault="0042492B" w:rsidP="000831A7">
      <w:pPr>
        <w:spacing w:after="0" w:line="240" w:lineRule="auto"/>
      </w:pPr>
      <w:r>
        <w:continuationSeparator/>
      </w:r>
    </w:p>
  </w:footnote>
  <w:footnote w:id="1">
    <w:p w14:paraId="16EFF526" w14:textId="77777777" w:rsidR="000831A7" w:rsidRDefault="000831A7" w:rsidP="000831A7">
      <w:pPr>
        <w:pStyle w:val="Allmrkusetekst"/>
      </w:pPr>
      <w:r>
        <w:rPr>
          <w:rStyle w:val="Allmrkuseviide"/>
        </w:rPr>
        <w:footnoteRef/>
      </w:r>
      <w:r>
        <w:t xml:space="preserve"> </w:t>
      </w:r>
      <w:r w:rsidRPr="001E24C0">
        <w:rPr>
          <w:b/>
        </w:rPr>
        <w:t xml:space="preserve">Riigi pikaajaline arengustrateegia </w:t>
      </w:r>
      <w:proofErr w:type="spellStart"/>
      <w:r w:rsidRPr="001E24C0">
        <w:rPr>
          <w:b/>
        </w:rPr>
        <w:t>ˮEesti</w:t>
      </w:r>
      <w:proofErr w:type="spellEnd"/>
      <w:r w:rsidRPr="001E24C0">
        <w:rPr>
          <w:b/>
        </w:rPr>
        <w:t xml:space="preserve"> 2035ˮ</w:t>
      </w:r>
      <w:r>
        <w:t xml:space="preserve"> </w:t>
      </w:r>
      <w:hyperlink r:id="rId1" w:history="1">
        <w:r w:rsidRPr="003F2891">
          <w:rPr>
            <w:rStyle w:val="Hperlink"/>
          </w:rPr>
          <w:t>https://www.riigiteataja.ee/akt/315052021012</w:t>
        </w:r>
      </w:hyperlink>
      <w:r>
        <w:t xml:space="preserve"> </w:t>
      </w:r>
    </w:p>
  </w:footnote>
  <w:footnote w:id="2">
    <w:p w14:paraId="0E9C7A71" w14:textId="77777777" w:rsidR="000831A7" w:rsidRDefault="000831A7" w:rsidP="000831A7">
      <w:pPr>
        <w:pStyle w:val="Allmrkusetekst"/>
        <w:jc w:val="both"/>
      </w:pPr>
      <w:r>
        <w:rPr>
          <w:rStyle w:val="Allmrkuseviide"/>
        </w:rPr>
        <w:footnoteRef/>
      </w:r>
      <w:r>
        <w:t xml:space="preserve"> </w:t>
      </w:r>
      <w:r w:rsidRPr="00DB27B2">
        <w:rPr>
          <w:b/>
        </w:rPr>
        <w:t>Informaalõpe</w:t>
      </w:r>
      <w:r w:rsidRPr="00DB27B2">
        <w:t xml:space="preserve"> võib õppija seisukohast lähtudes olla nii eesmärgistatud kui eesmärgistamata õppimine, mis toimub igapäevaelu situatsioonides.</w:t>
      </w:r>
    </w:p>
    <w:p w14:paraId="2411E70B" w14:textId="77777777" w:rsidR="000831A7" w:rsidRDefault="000831A7" w:rsidP="000831A7">
      <w:pPr>
        <w:pStyle w:val="Allmrkusetekst"/>
        <w:jc w:val="both"/>
      </w:pPr>
      <w:r w:rsidRPr="00DB27B2">
        <w:rPr>
          <w:b/>
        </w:rPr>
        <w:t>Mitteformaalõpe</w:t>
      </w:r>
      <w:r w:rsidRPr="00DB27B2">
        <w:t xml:space="preserve"> on eesmärgistatud vabatahtlik õpe, mis toimub kindla õppeprogrammi alusel ja kindlatele huvirühmadele erinevates keskkondades. Mitteformaalse õppe võimalusi pakuvad noorsootöö, huviharidus, vabaharidus ja täiskasvanute täienduskoolitused.</w:t>
      </w:r>
    </w:p>
  </w:footnote>
  <w:footnote w:id="3">
    <w:p w14:paraId="5DD947FE" w14:textId="77777777" w:rsidR="000831A7" w:rsidRDefault="000831A7" w:rsidP="000831A7">
      <w:pPr>
        <w:pStyle w:val="Allmrkusetekst"/>
      </w:pPr>
      <w:r>
        <w:rPr>
          <w:rStyle w:val="Allmrkuseviide"/>
        </w:rPr>
        <w:footnoteRef/>
      </w:r>
      <w:r>
        <w:t xml:space="preserve"> </w:t>
      </w:r>
      <w:hyperlink r:id="rId2" w:history="1">
        <w:r w:rsidRPr="00491C55">
          <w:rPr>
            <w:rStyle w:val="Hperlink"/>
          </w:rPr>
          <w:t>https://www.hm.ee/sites/default/files/noortevaldkonna_arengukava_2021-2035_kinnitatud_12.08.2035.pdf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0D7"/>
    <w:multiLevelType w:val="hybridMultilevel"/>
    <w:tmpl w:val="041E6E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845D8D"/>
    <w:multiLevelType w:val="hybridMultilevel"/>
    <w:tmpl w:val="4880C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B637A6"/>
    <w:multiLevelType w:val="hybridMultilevel"/>
    <w:tmpl w:val="9ADA2736"/>
    <w:lvl w:ilvl="0" w:tplc="77264C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2A400CA1"/>
    <w:multiLevelType w:val="hybridMultilevel"/>
    <w:tmpl w:val="4AEA4E88"/>
    <w:lvl w:ilvl="0" w:tplc="0425000F">
      <w:start w:val="1"/>
      <w:numFmt w:val="decimal"/>
      <w:lvlText w:val="%1."/>
      <w:lvlJc w:val="left"/>
      <w:pPr>
        <w:ind w:left="1434" w:hanging="360"/>
      </w:p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abstractNum w:abstractNumId="4" w15:restartNumberingAfterBreak="0">
    <w:nsid w:val="33697867"/>
    <w:multiLevelType w:val="hybridMultilevel"/>
    <w:tmpl w:val="94FC25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A242F41"/>
    <w:multiLevelType w:val="hybridMultilevel"/>
    <w:tmpl w:val="012C4F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40528940">
    <w:abstractNumId w:val="2"/>
  </w:num>
  <w:num w:numId="2" w16cid:durableId="531039337">
    <w:abstractNumId w:val="5"/>
  </w:num>
  <w:num w:numId="3" w16cid:durableId="1540126040">
    <w:abstractNumId w:val="4"/>
  </w:num>
  <w:num w:numId="4" w16cid:durableId="2118333331">
    <w:abstractNumId w:val="1"/>
  </w:num>
  <w:num w:numId="5" w16cid:durableId="150829134">
    <w:abstractNumId w:val="3"/>
  </w:num>
  <w:num w:numId="6" w16cid:durableId="80145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A7"/>
    <w:rsid w:val="000831A7"/>
    <w:rsid w:val="002206C7"/>
    <w:rsid w:val="00243D51"/>
    <w:rsid w:val="0042492B"/>
    <w:rsid w:val="006B28F6"/>
    <w:rsid w:val="00A92468"/>
    <w:rsid w:val="00DA0E85"/>
    <w:rsid w:val="00E878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9238"/>
  <w15:chartTrackingRefBased/>
  <w15:docId w15:val="{9BC447E5-7956-436D-8CE9-F9B30380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31A7"/>
    <w:rPr>
      <w:rFonts w:ascii="Calibri" w:eastAsia="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unhideWhenUsed/>
    <w:rsid w:val="000831A7"/>
    <w:pPr>
      <w:spacing w:after="0" w:line="240" w:lineRule="auto"/>
    </w:pPr>
    <w:rPr>
      <w:sz w:val="20"/>
      <w:szCs w:val="20"/>
    </w:rPr>
  </w:style>
  <w:style w:type="character" w:customStyle="1" w:styleId="AllmrkusetekstMrk">
    <w:name w:val="Allmärkuse tekst Märk"/>
    <w:basedOn w:val="Liguvaikefont"/>
    <w:link w:val="Allmrkusetekst"/>
    <w:uiPriority w:val="99"/>
    <w:rsid w:val="000831A7"/>
    <w:rPr>
      <w:rFonts w:ascii="Calibri" w:eastAsia="Calibri" w:hAnsi="Calibri" w:cs="Calibri"/>
      <w:sz w:val="20"/>
      <w:szCs w:val="20"/>
      <w:lang w:eastAsia="et-EE"/>
    </w:rPr>
  </w:style>
  <w:style w:type="character" w:styleId="Allmrkuseviide">
    <w:name w:val="footnote reference"/>
    <w:basedOn w:val="Liguvaikefont"/>
    <w:uiPriority w:val="99"/>
    <w:unhideWhenUsed/>
    <w:rsid w:val="000831A7"/>
    <w:rPr>
      <w:vertAlign w:val="superscript"/>
    </w:rPr>
  </w:style>
  <w:style w:type="paragraph" w:styleId="Loendilik">
    <w:name w:val="List Paragraph"/>
    <w:basedOn w:val="Normaallaad"/>
    <w:uiPriority w:val="34"/>
    <w:qFormat/>
    <w:rsid w:val="000831A7"/>
    <w:pPr>
      <w:ind w:left="720"/>
      <w:contextualSpacing/>
    </w:pPr>
  </w:style>
  <w:style w:type="character" w:styleId="Hperlink">
    <w:name w:val="Hyperlink"/>
    <w:basedOn w:val="Liguvaikefont"/>
    <w:uiPriority w:val="99"/>
    <w:unhideWhenUsed/>
    <w:rsid w:val="00083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hm.ee/sites/default/files/noortevaldkonna_arengukava_2021-2035_kinnitatud_12.08.2035.pdf" TargetMode="External"/><Relationship Id="rId1" Type="http://schemas.openxmlformats.org/officeDocument/2006/relationships/hyperlink" Target="https://www.riigiteataja.ee/akt/31505202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8173</Characters>
  <Application>Microsoft Office Word</Application>
  <DocSecurity>0</DocSecurity>
  <Lines>68</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 korraldustoimkond</dc:creator>
  <cp:keywords/>
  <dc:description/>
  <cp:lastModifiedBy>Moonika Oras</cp:lastModifiedBy>
  <cp:revision>2</cp:revision>
  <dcterms:created xsi:type="dcterms:W3CDTF">2022-10-20T06:52:00Z</dcterms:created>
  <dcterms:modified xsi:type="dcterms:W3CDTF">2022-10-20T06:52:00Z</dcterms:modified>
</cp:coreProperties>
</file>