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51" w:rsidRPr="006D5A87" w:rsidRDefault="00005551" w:rsidP="00005551">
      <w:pPr>
        <w:jc w:val="right"/>
        <w:rPr>
          <w:b/>
        </w:rPr>
      </w:pPr>
      <w:proofErr w:type="spellStart"/>
      <w:r w:rsidRPr="006D5A87">
        <w:rPr>
          <w:b/>
        </w:rPr>
        <w:t>Pkp</w:t>
      </w:r>
      <w:proofErr w:type="spellEnd"/>
      <w:r w:rsidRPr="006D5A87">
        <w:rPr>
          <w:b/>
        </w:rPr>
        <w:t>.</w:t>
      </w:r>
    </w:p>
    <w:p w:rsidR="00005551" w:rsidRPr="006D5A87" w:rsidRDefault="00005551" w:rsidP="00005551">
      <w:pPr>
        <w:jc w:val="right"/>
        <w:rPr>
          <w:b/>
        </w:rPr>
      </w:pPr>
      <w:r w:rsidRPr="006D5A87">
        <w:rPr>
          <w:b/>
        </w:rPr>
        <w:t>Eelnõu nr.</w:t>
      </w:r>
    </w:p>
    <w:p w:rsidR="006D5A87" w:rsidRPr="006D5A87" w:rsidRDefault="006D5A87" w:rsidP="00005551">
      <w:pPr>
        <w:jc w:val="right"/>
        <w:rPr>
          <w:i/>
        </w:rPr>
      </w:pPr>
    </w:p>
    <w:tbl>
      <w:tblPr>
        <w:tblW w:w="9322" w:type="dxa"/>
        <w:tblLayout w:type="fixed"/>
        <w:tblLook w:val="0000" w:firstRow="0" w:lastRow="0" w:firstColumn="0" w:lastColumn="0" w:noHBand="0" w:noVBand="0"/>
      </w:tblPr>
      <w:tblGrid>
        <w:gridCol w:w="4589"/>
        <w:gridCol w:w="1331"/>
        <w:gridCol w:w="3402"/>
      </w:tblGrid>
      <w:tr w:rsidR="009E5B43" w:rsidTr="00D900CA">
        <w:trPr>
          <w:cantSplit/>
        </w:trPr>
        <w:tc>
          <w:tcPr>
            <w:tcW w:w="9322" w:type="dxa"/>
            <w:gridSpan w:val="3"/>
          </w:tcPr>
          <w:p w:rsidR="009E5B43" w:rsidRDefault="009E5B43" w:rsidP="00990051">
            <w:pPr>
              <w:pStyle w:val="Pea"/>
              <w:ind w:left="0"/>
              <w:rPr>
                <w:noProof/>
              </w:rPr>
            </w:pPr>
            <w:r>
              <w:rPr>
                <w:noProof/>
              </w:rPr>
              <w:t>VIIMSI VALLA</w:t>
            </w:r>
            <w:r w:rsidR="00990051">
              <w:rPr>
                <w:noProof/>
              </w:rPr>
              <w:t>VOLIKOGU</w:t>
            </w:r>
          </w:p>
        </w:tc>
      </w:tr>
      <w:tr w:rsidR="009E5B43" w:rsidTr="00D900CA">
        <w:trPr>
          <w:cantSplit/>
        </w:trPr>
        <w:tc>
          <w:tcPr>
            <w:tcW w:w="9322" w:type="dxa"/>
            <w:gridSpan w:val="3"/>
          </w:tcPr>
          <w:p w:rsidR="009E5B43" w:rsidRDefault="009E5B43">
            <w:pPr>
              <w:pStyle w:val="Kehatekst"/>
              <w:tabs>
                <w:tab w:val="left" w:pos="6521"/>
              </w:tabs>
              <w:jc w:val="center"/>
              <w:rPr>
                <w:b/>
                <w:noProof/>
              </w:rPr>
            </w:pPr>
          </w:p>
        </w:tc>
      </w:tr>
      <w:tr w:rsidR="009E5B43" w:rsidTr="00D900CA">
        <w:trPr>
          <w:cantSplit/>
        </w:trPr>
        <w:tc>
          <w:tcPr>
            <w:tcW w:w="9322" w:type="dxa"/>
            <w:gridSpan w:val="3"/>
          </w:tcPr>
          <w:p w:rsidR="009E5B43" w:rsidRDefault="00990051">
            <w:pPr>
              <w:pStyle w:val="Pea"/>
              <w:ind w:left="0"/>
              <w:rPr>
                <w:b/>
                <w:bCs/>
                <w:noProof/>
              </w:rPr>
            </w:pPr>
            <w:r>
              <w:rPr>
                <w:b/>
                <w:bCs/>
                <w:noProof/>
              </w:rPr>
              <w:t>OTSUS</w:t>
            </w:r>
          </w:p>
        </w:tc>
      </w:tr>
      <w:tr w:rsidR="009E5B43" w:rsidTr="00D900CA">
        <w:trPr>
          <w:cantSplit/>
        </w:trPr>
        <w:tc>
          <w:tcPr>
            <w:tcW w:w="9322" w:type="dxa"/>
            <w:gridSpan w:val="3"/>
          </w:tcPr>
          <w:p w:rsidR="009E5B43" w:rsidRDefault="009E5B43">
            <w:pPr>
              <w:pStyle w:val="Kehatekst"/>
              <w:tabs>
                <w:tab w:val="left" w:pos="6521"/>
              </w:tabs>
              <w:jc w:val="left"/>
              <w:rPr>
                <w:noProof/>
              </w:rPr>
            </w:pPr>
          </w:p>
        </w:tc>
      </w:tr>
      <w:tr w:rsidR="009E5B43" w:rsidTr="00D900CA">
        <w:trPr>
          <w:cantSplit/>
        </w:trPr>
        <w:tc>
          <w:tcPr>
            <w:tcW w:w="9322" w:type="dxa"/>
            <w:gridSpan w:val="3"/>
          </w:tcPr>
          <w:p w:rsidR="009E5B43" w:rsidRDefault="009E5B43">
            <w:pPr>
              <w:pStyle w:val="Kehatekst"/>
              <w:tabs>
                <w:tab w:val="left" w:pos="6521"/>
              </w:tabs>
              <w:jc w:val="left"/>
              <w:rPr>
                <w:noProof/>
              </w:rPr>
            </w:pPr>
          </w:p>
        </w:tc>
      </w:tr>
      <w:tr w:rsidR="009E5B43" w:rsidTr="00D900CA">
        <w:trPr>
          <w:cantSplit/>
        </w:trPr>
        <w:tc>
          <w:tcPr>
            <w:tcW w:w="5920" w:type="dxa"/>
            <w:gridSpan w:val="2"/>
          </w:tcPr>
          <w:p w:rsidR="009E5B43" w:rsidRDefault="009E5B43">
            <w:pPr>
              <w:pStyle w:val="Kehatekst"/>
              <w:tabs>
                <w:tab w:val="left" w:pos="6521"/>
              </w:tabs>
              <w:jc w:val="left"/>
              <w:rPr>
                <w:noProof/>
              </w:rPr>
            </w:pPr>
            <w:r>
              <w:rPr>
                <w:noProof/>
              </w:rPr>
              <w:t>Viimsi</w:t>
            </w:r>
          </w:p>
        </w:tc>
        <w:tc>
          <w:tcPr>
            <w:tcW w:w="3402" w:type="dxa"/>
          </w:tcPr>
          <w:p w:rsidR="009E5B43" w:rsidRDefault="00005551" w:rsidP="00990051">
            <w:pPr>
              <w:pStyle w:val="Kehatekst"/>
              <w:tabs>
                <w:tab w:val="left" w:pos="6521"/>
              </w:tabs>
              <w:jc w:val="center"/>
              <w:rPr>
                <w:noProof/>
              </w:rPr>
            </w:pPr>
            <w:r>
              <w:rPr>
                <w:noProof/>
              </w:rPr>
              <w:t xml:space="preserve">              20. </w:t>
            </w:r>
            <w:r w:rsidR="00990051">
              <w:rPr>
                <w:noProof/>
              </w:rPr>
              <w:t>juuni</w:t>
            </w:r>
            <w:r w:rsidR="00A05ABA">
              <w:rPr>
                <w:noProof/>
              </w:rPr>
              <w:t xml:space="preserve"> 2</w:t>
            </w:r>
            <w:r w:rsidR="00990051">
              <w:rPr>
                <w:noProof/>
              </w:rPr>
              <w:t>017</w:t>
            </w:r>
            <w:r>
              <w:rPr>
                <w:noProof/>
              </w:rPr>
              <w:t xml:space="preserve"> nr</w:t>
            </w:r>
          </w:p>
        </w:tc>
      </w:tr>
      <w:tr w:rsidR="009E5B43" w:rsidTr="00D900CA">
        <w:trPr>
          <w:cantSplit/>
        </w:trPr>
        <w:tc>
          <w:tcPr>
            <w:tcW w:w="9322" w:type="dxa"/>
            <w:gridSpan w:val="3"/>
          </w:tcPr>
          <w:p w:rsidR="009E5B43" w:rsidRDefault="009E5B43">
            <w:pPr>
              <w:pStyle w:val="Kehatekst"/>
              <w:jc w:val="left"/>
              <w:rPr>
                <w:noProof/>
              </w:rPr>
            </w:pPr>
          </w:p>
        </w:tc>
      </w:tr>
      <w:tr w:rsidR="009E5B43" w:rsidTr="00D900CA">
        <w:trPr>
          <w:cantSplit/>
        </w:trPr>
        <w:tc>
          <w:tcPr>
            <w:tcW w:w="9322" w:type="dxa"/>
            <w:gridSpan w:val="3"/>
          </w:tcPr>
          <w:p w:rsidR="009E5B43" w:rsidRPr="000939C2" w:rsidRDefault="009E5B43">
            <w:pPr>
              <w:pStyle w:val="Kehatekst"/>
              <w:tabs>
                <w:tab w:val="left" w:pos="6521"/>
              </w:tabs>
              <w:jc w:val="left"/>
              <w:rPr>
                <w:noProof/>
              </w:rPr>
            </w:pPr>
          </w:p>
        </w:tc>
      </w:tr>
      <w:tr w:rsidR="009E5B43" w:rsidTr="00284DF8">
        <w:trPr>
          <w:cantSplit/>
          <w:trHeight w:val="253"/>
        </w:trPr>
        <w:tc>
          <w:tcPr>
            <w:tcW w:w="4589" w:type="dxa"/>
          </w:tcPr>
          <w:p w:rsidR="009E5B43" w:rsidRPr="000939C2" w:rsidRDefault="005D556F" w:rsidP="009F46BB">
            <w:pPr>
              <w:pStyle w:val="Kehatekst"/>
              <w:tabs>
                <w:tab w:val="left" w:pos="6521"/>
              </w:tabs>
              <w:jc w:val="left"/>
              <w:rPr>
                <w:iCs/>
                <w:noProof/>
                <w:szCs w:val="24"/>
              </w:rPr>
            </w:pPr>
            <w:r w:rsidRPr="000939C2">
              <w:rPr>
                <w:iCs/>
                <w:noProof/>
                <w:szCs w:val="24"/>
              </w:rPr>
              <w:t>Mereääre tee 11</w:t>
            </w:r>
            <w:r w:rsidR="00990051" w:rsidRPr="000939C2">
              <w:rPr>
                <w:iCs/>
                <w:noProof/>
                <w:szCs w:val="24"/>
              </w:rPr>
              <w:t xml:space="preserve"> kinnistule</w:t>
            </w:r>
            <w:r w:rsidRPr="000939C2">
              <w:rPr>
                <w:iCs/>
                <w:noProof/>
                <w:szCs w:val="24"/>
              </w:rPr>
              <w:t xml:space="preserve"> hoonestusõiguse seadmine MTÜ</w:t>
            </w:r>
            <w:r w:rsidR="00990051" w:rsidRPr="000939C2">
              <w:rPr>
                <w:iCs/>
                <w:noProof/>
                <w:szCs w:val="24"/>
              </w:rPr>
              <w:t xml:space="preserve"> Tammneeme Sadam </w:t>
            </w:r>
            <w:r w:rsidRPr="000939C2">
              <w:rPr>
                <w:iCs/>
                <w:noProof/>
                <w:szCs w:val="24"/>
              </w:rPr>
              <w:t>kasuks</w:t>
            </w:r>
          </w:p>
        </w:tc>
        <w:tc>
          <w:tcPr>
            <w:tcW w:w="4733" w:type="dxa"/>
            <w:gridSpan w:val="2"/>
          </w:tcPr>
          <w:p w:rsidR="009E5B43" w:rsidRPr="000939C2" w:rsidRDefault="009E5B43">
            <w:pPr>
              <w:pStyle w:val="Kehatekst"/>
              <w:tabs>
                <w:tab w:val="left" w:pos="6521"/>
              </w:tabs>
              <w:jc w:val="left"/>
              <w:rPr>
                <w:noProof/>
                <w:szCs w:val="24"/>
              </w:rPr>
            </w:pPr>
          </w:p>
        </w:tc>
      </w:tr>
      <w:tr w:rsidR="009E5B43" w:rsidTr="00D900CA">
        <w:trPr>
          <w:cantSplit/>
        </w:trPr>
        <w:tc>
          <w:tcPr>
            <w:tcW w:w="9322" w:type="dxa"/>
            <w:gridSpan w:val="3"/>
          </w:tcPr>
          <w:p w:rsidR="009E5B43" w:rsidRPr="000939C2" w:rsidRDefault="009E5B43">
            <w:pPr>
              <w:pStyle w:val="Kehatekst"/>
              <w:tabs>
                <w:tab w:val="left" w:pos="6521"/>
              </w:tabs>
              <w:jc w:val="left"/>
              <w:rPr>
                <w:noProof/>
                <w:szCs w:val="24"/>
              </w:rPr>
            </w:pPr>
          </w:p>
        </w:tc>
      </w:tr>
      <w:tr w:rsidR="009E5B43" w:rsidTr="00D900CA">
        <w:trPr>
          <w:cantSplit/>
        </w:trPr>
        <w:tc>
          <w:tcPr>
            <w:tcW w:w="9322" w:type="dxa"/>
            <w:gridSpan w:val="3"/>
          </w:tcPr>
          <w:p w:rsidR="009E5B43" w:rsidRPr="0099498A" w:rsidRDefault="009E5B43">
            <w:pPr>
              <w:pStyle w:val="Kehatekst"/>
              <w:tabs>
                <w:tab w:val="left" w:pos="6521"/>
              </w:tabs>
              <w:jc w:val="left"/>
              <w:rPr>
                <w:noProof/>
                <w:szCs w:val="24"/>
              </w:rPr>
            </w:pPr>
          </w:p>
        </w:tc>
      </w:tr>
      <w:tr w:rsidR="009E5B43" w:rsidTr="00303A9A">
        <w:trPr>
          <w:cantSplit/>
          <w:trHeight w:val="2271"/>
        </w:trPr>
        <w:tc>
          <w:tcPr>
            <w:tcW w:w="9322" w:type="dxa"/>
            <w:gridSpan w:val="3"/>
          </w:tcPr>
          <w:p w:rsidR="009F46BB" w:rsidRPr="00303A9A" w:rsidRDefault="00834BED" w:rsidP="00A05ABA">
            <w:pPr>
              <w:pStyle w:val="Kehatekst"/>
              <w:tabs>
                <w:tab w:val="left" w:pos="6521"/>
              </w:tabs>
              <w:rPr>
                <w:szCs w:val="24"/>
              </w:rPr>
            </w:pPr>
            <w:r>
              <w:rPr>
                <w:szCs w:val="24"/>
              </w:rPr>
              <w:t xml:space="preserve">Viimsi Vallavalitsuse </w:t>
            </w:r>
            <w:r w:rsidR="0064658A">
              <w:rPr>
                <w:szCs w:val="24"/>
              </w:rPr>
              <w:t xml:space="preserve">ja Tammneeme Sadam MTÜ vahel on 14.10.2013 sõlmitud </w:t>
            </w:r>
            <w:r w:rsidR="00F0785F">
              <w:rPr>
                <w:szCs w:val="24"/>
              </w:rPr>
              <w:t>hoon</w:t>
            </w:r>
            <w:r w:rsidR="00AC383A">
              <w:rPr>
                <w:szCs w:val="24"/>
              </w:rPr>
              <w:t>estusõiguse seadmise eelleping, mille kohaselt lepiti kokku, et peale detailplaneeringu alusel iseseisva sadama-ala katastriüksuse moodustamist ja Viimsi Vallavolikogu vastavat otsust seab vald Tammneeme Sadama MTÜ kasuks hoonestusõiguse tasu maksmise kohustuseta tähtajaga 50 aastat. Tammneeme ranna-ala ja sellega külgneva mereala detailplaneering kehtestati V</w:t>
            </w:r>
            <w:r w:rsidR="00005551">
              <w:rPr>
                <w:szCs w:val="24"/>
              </w:rPr>
              <w:t>iimsi Vallavalitsuse 23. novemb</w:t>
            </w:r>
            <w:r w:rsidR="00AC383A">
              <w:rPr>
                <w:szCs w:val="24"/>
              </w:rPr>
              <w:t>r</w:t>
            </w:r>
            <w:r w:rsidR="00005551">
              <w:rPr>
                <w:szCs w:val="24"/>
              </w:rPr>
              <w:t>i</w:t>
            </w:r>
            <w:r w:rsidR="00AC383A">
              <w:rPr>
                <w:szCs w:val="24"/>
              </w:rPr>
              <w:t xml:space="preserve"> 2016 korraldusega nr 720 </w:t>
            </w:r>
            <w:r w:rsidR="00AC383A" w:rsidRPr="00303A9A">
              <w:rPr>
                <w:i/>
                <w:szCs w:val="24"/>
              </w:rPr>
              <w:t>„Tammneeme külas, kinnistu Tammneeme ranna-ala ja sellega külgneva mereala detailplaneeringu kehtestamine“.</w:t>
            </w:r>
            <w:r w:rsidR="00AC383A" w:rsidRPr="00303A9A">
              <w:rPr>
                <w:szCs w:val="24"/>
              </w:rPr>
              <w:t xml:space="preserve"> </w:t>
            </w:r>
          </w:p>
          <w:p w:rsidR="009E5B43" w:rsidRPr="00303A9A" w:rsidRDefault="00005551" w:rsidP="00303A9A">
            <w:pPr>
              <w:pStyle w:val="Kehatekst"/>
              <w:tabs>
                <w:tab w:val="left" w:pos="6521"/>
              </w:tabs>
              <w:rPr>
                <w:noProof/>
                <w:szCs w:val="24"/>
              </w:rPr>
            </w:pPr>
            <w:r>
              <w:rPr>
                <w:noProof/>
                <w:szCs w:val="24"/>
              </w:rPr>
              <w:t>Detailplaneeringu kohan</w:t>
            </w:r>
            <w:r w:rsidR="00C66B58" w:rsidRPr="00156B57">
              <w:rPr>
                <w:noProof/>
                <w:szCs w:val="24"/>
              </w:rPr>
              <w:t>e Tammneeme ranna-ala kinnistu jagamise tulemusel o</w:t>
            </w:r>
            <w:r>
              <w:rPr>
                <w:noProof/>
                <w:szCs w:val="24"/>
              </w:rPr>
              <w:t xml:space="preserve">n hoonestusõiguse esemeks olev </w:t>
            </w:r>
            <w:r w:rsidR="00165A1C" w:rsidRPr="00156B57">
              <w:rPr>
                <w:noProof/>
                <w:szCs w:val="24"/>
              </w:rPr>
              <w:t xml:space="preserve">Mereääre tee 11 </w:t>
            </w:r>
            <w:r w:rsidR="00C66B58" w:rsidRPr="00156B57">
              <w:rPr>
                <w:noProof/>
                <w:szCs w:val="24"/>
              </w:rPr>
              <w:t xml:space="preserve">kinnistu kantud kinnistusraamatusse </w:t>
            </w:r>
            <w:r w:rsidR="00303A9A" w:rsidRPr="00156B57">
              <w:rPr>
                <w:szCs w:val="24"/>
              </w:rPr>
              <w:t xml:space="preserve"> 25.05.</w:t>
            </w:r>
            <w:r w:rsidR="00C66B58" w:rsidRPr="00156B57">
              <w:rPr>
                <w:noProof/>
                <w:szCs w:val="24"/>
              </w:rPr>
              <w:t xml:space="preserve">2017 (reg nr. </w:t>
            </w:r>
            <w:r w:rsidR="00303A9A" w:rsidRPr="00156B57">
              <w:rPr>
                <w:szCs w:val="24"/>
              </w:rPr>
              <w:t xml:space="preserve">13313102, </w:t>
            </w:r>
            <w:r w:rsidR="00C66B58" w:rsidRPr="00156B57">
              <w:rPr>
                <w:noProof/>
                <w:szCs w:val="24"/>
              </w:rPr>
              <w:t>katastritunnus</w:t>
            </w:r>
            <w:r w:rsidR="00303A9A" w:rsidRPr="00156B57">
              <w:rPr>
                <w:noProof/>
                <w:szCs w:val="24"/>
              </w:rPr>
              <w:t xml:space="preserve">: </w:t>
            </w:r>
            <w:hyperlink r:id="rId6" w:history="1">
              <w:r w:rsidR="00303A9A" w:rsidRPr="00156B57">
                <w:rPr>
                  <w:rStyle w:val="Hperlink"/>
                  <w:rFonts w:ascii="Times New Roman" w:hAnsi="Times New Roman"/>
                  <w:color w:val="auto"/>
                  <w:sz w:val="24"/>
                  <w:szCs w:val="24"/>
                </w:rPr>
                <w:t>89001:001:0881</w:t>
              </w:r>
            </w:hyperlink>
            <w:r w:rsidR="00C66B58" w:rsidRPr="00156B57">
              <w:rPr>
                <w:noProof/>
                <w:szCs w:val="24"/>
              </w:rPr>
              <w:t xml:space="preserve">). </w:t>
            </w:r>
          </w:p>
        </w:tc>
      </w:tr>
      <w:tr w:rsidR="009E5B43" w:rsidTr="00D900CA">
        <w:trPr>
          <w:cantSplit/>
        </w:trPr>
        <w:tc>
          <w:tcPr>
            <w:tcW w:w="9322" w:type="dxa"/>
            <w:gridSpan w:val="3"/>
          </w:tcPr>
          <w:p w:rsidR="00AF4AD6" w:rsidRPr="002902F8" w:rsidRDefault="00AF4AD6" w:rsidP="00005551">
            <w:pPr>
              <w:pStyle w:val="Kehatekst"/>
              <w:tabs>
                <w:tab w:val="left" w:pos="6521"/>
              </w:tabs>
              <w:spacing w:after="120"/>
              <w:rPr>
                <w:noProof/>
              </w:rPr>
            </w:pPr>
            <w:r>
              <w:rPr>
                <w:noProof/>
              </w:rPr>
              <w:t>Arvestades eeltoodut, võttes aluseks</w:t>
            </w:r>
            <w:r w:rsidR="002902F8">
              <w:rPr>
                <w:noProof/>
              </w:rPr>
              <w:t xml:space="preserve"> „Viimsi valla põhimääru</w:t>
            </w:r>
            <w:r w:rsidR="00005551">
              <w:rPr>
                <w:noProof/>
              </w:rPr>
              <w:t xml:space="preserve">se“ § 160 lõike 2 punkti 1 ja § </w:t>
            </w:r>
            <w:r w:rsidR="002902F8">
              <w:rPr>
                <w:noProof/>
              </w:rPr>
              <w:t>165 lõike 1, juhindudes asjaõigusseaduse §-dest 241-255</w:t>
            </w:r>
            <w:r w:rsidR="002902F8">
              <w:rPr>
                <w:noProof/>
                <w:vertAlign w:val="superscript"/>
              </w:rPr>
              <w:t>1</w:t>
            </w:r>
            <w:r w:rsidR="002902F8">
              <w:rPr>
                <w:noProof/>
              </w:rPr>
              <w:t>, Viimsi Vallavolikogu</w:t>
            </w:r>
          </w:p>
          <w:p w:rsidR="00AF4AD6" w:rsidRDefault="00005551" w:rsidP="00005551">
            <w:pPr>
              <w:pStyle w:val="Kehatekst"/>
              <w:tabs>
                <w:tab w:val="left" w:pos="6521"/>
              </w:tabs>
              <w:spacing w:after="120"/>
              <w:jc w:val="left"/>
              <w:rPr>
                <w:noProof/>
              </w:rPr>
            </w:pPr>
            <w:r>
              <w:rPr>
                <w:noProof/>
              </w:rPr>
              <w:t xml:space="preserve">o </w:t>
            </w:r>
            <w:r w:rsidR="00AF4AD6">
              <w:rPr>
                <w:noProof/>
              </w:rPr>
              <w:t>t</w:t>
            </w:r>
            <w:r>
              <w:rPr>
                <w:noProof/>
              </w:rPr>
              <w:t xml:space="preserve"> </w:t>
            </w:r>
            <w:r w:rsidR="00AF4AD6">
              <w:rPr>
                <w:noProof/>
              </w:rPr>
              <w:t>s</w:t>
            </w:r>
            <w:r>
              <w:rPr>
                <w:noProof/>
              </w:rPr>
              <w:t xml:space="preserve"> </w:t>
            </w:r>
            <w:r w:rsidR="00AF4AD6">
              <w:rPr>
                <w:noProof/>
              </w:rPr>
              <w:t>u</w:t>
            </w:r>
            <w:r>
              <w:rPr>
                <w:noProof/>
              </w:rPr>
              <w:t xml:space="preserve"> </w:t>
            </w:r>
            <w:r w:rsidR="00AF4AD6">
              <w:rPr>
                <w:noProof/>
              </w:rPr>
              <w:t>s</w:t>
            </w:r>
            <w:r>
              <w:rPr>
                <w:noProof/>
              </w:rPr>
              <w:t xml:space="preserve"> </w:t>
            </w:r>
            <w:r w:rsidR="00AF4AD6">
              <w:rPr>
                <w:noProof/>
              </w:rPr>
              <w:t>t</w:t>
            </w:r>
            <w:r>
              <w:rPr>
                <w:noProof/>
              </w:rPr>
              <w:t xml:space="preserve"> </w:t>
            </w:r>
            <w:r w:rsidR="00AF4AD6">
              <w:rPr>
                <w:noProof/>
              </w:rPr>
              <w:t>a</w:t>
            </w:r>
            <w:r>
              <w:rPr>
                <w:noProof/>
              </w:rPr>
              <w:t xml:space="preserve"> </w:t>
            </w:r>
            <w:r w:rsidR="00AF4AD6">
              <w:rPr>
                <w:noProof/>
              </w:rPr>
              <w:t>b:</w:t>
            </w:r>
          </w:p>
        </w:tc>
      </w:tr>
    </w:tbl>
    <w:p w:rsidR="0023221D" w:rsidRDefault="0073068B" w:rsidP="00005551">
      <w:pPr>
        <w:pStyle w:val="Loetelu"/>
        <w:numPr>
          <w:ilvl w:val="0"/>
          <w:numId w:val="24"/>
        </w:numPr>
        <w:spacing w:after="120"/>
        <w:ind w:left="357" w:hanging="357"/>
        <w:rPr>
          <w:noProof/>
        </w:rPr>
      </w:pPr>
      <w:r>
        <w:rPr>
          <w:noProof/>
        </w:rPr>
        <w:t>Seada otsustuskorras</w:t>
      </w:r>
      <w:r w:rsidR="004607B6" w:rsidRPr="00156B57">
        <w:rPr>
          <w:noProof/>
        </w:rPr>
        <w:t xml:space="preserve"> hoonestusõigus </w:t>
      </w:r>
      <w:r w:rsidR="00E22801" w:rsidRPr="00156B57">
        <w:rPr>
          <w:noProof/>
        </w:rPr>
        <w:t xml:space="preserve">Viimsi valla (edaspidi omanik) omandis olevale kinnistule (Mereääre tee 11, kinnistusosa registriosa </w:t>
      </w:r>
      <w:r w:rsidR="00303A9A" w:rsidRPr="00156B57">
        <w:rPr>
          <w:szCs w:val="24"/>
        </w:rPr>
        <w:t xml:space="preserve">13313102, </w:t>
      </w:r>
      <w:r w:rsidR="00E22801" w:rsidRPr="00156B57">
        <w:rPr>
          <w:noProof/>
        </w:rPr>
        <w:t>katastritunnus 89001:001:0881) MTÜ Tammneeme Sadam (re</w:t>
      </w:r>
      <w:r w:rsidR="00440D45" w:rsidRPr="00156B57">
        <w:rPr>
          <w:noProof/>
        </w:rPr>
        <w:t>gistrikood 80350493) (edaspidi h</w:t>
      </w:r>
      <w:r w:rsidR="00E22801" w:rsidRPr="00156B57">
        <w:rPr>
          <w:noProof/>
        </w:rPr>
        <w:t>oonestaja) kasuks</w:t>
      </w:r>
      <w:r w:rsidR="002B1CB9" w:rsidRPr="00156B57">
        <w:rPr>
          <w:noProof/>
        </w:rPr>
        <w:t>.</w:t>
      </w:r>
      <w:r w:rsidR="00C459D6" w:rsidRPr="00156B57">
        <w:rPr>
          <w:noProof/>
        </w:rPr>
        <w:t xml:space="preserve"> Hoonestusõigus seatakse kogu kinnisasjale</w:t>
      </w:r>
      <w:r w:rsidR="00890059" w:rsidRPr="00156B57">
        <w:rPr>
          <w:noProof/>
        </w:rPr>
        <w:t>.</w:t>
      </w:r>
    </w:p>
    <w:p w:rsidR="002B1CB9" w:rsidRPr="00F95FF3" w:rsidRDefault="002B1CB9" w:rsidP="002B1CB9">
      <w:pPr>
        <w:pStyle w:val="Loetelu"/>
        <w:numPr>
          <w:ilvl w:val="0"/>
          <w:numId w:val="24"/>
        </w:numPr>
        <w:rPr>
          <w:b/>
          <w:noProof/>
        </w:rPr>
      </w:pPr>
      <w:r w:rsidRPr="00F95FF3">
        <w:rPr>
          <w:b/>
          <w:noProof/>
        </w:rPr>
        <w:t>Hoonestusõiguse seadmise põhitingimused:</w:t>
      </w:r>
    </w:p>
    <w:p w:rsidR="00C459D6" w:rsidRDefault="00C459D6" w:rsidP="0073068B">
      <w:pPr>
        <w:pStyle w:val="Loetelu"/>
        <w:numPr>
          <w:ilvl w:val="1"/>
          <w:numId w:val="24"/>
        </w:numPr>
        <w:spacing w:before="0"/>
        <w:ind w:left="567" w:hanging="567"/>
        <w:rPr>
          <w:noProof/>
        </w:rPr>
      </w:pPr>
      <w:r>
        <w:rPr>
          <w:noProof/>
        </w:rPr>
        <w:t>Hoonestusõigus seatakse tervele kinnisasjale eesmärgiga rajada kinnistule väikesadam ja osutada väikesadamateenuseid;</w:t>
      </w:r>
    </w:p>
    <w:p w:rsidR="00C459D6" w:rsidRDefault="00C459D6" w:rsidP="0073068B">
      <w:pPr>
        <w:pStyle w:val="Loetelu"/>
        <w:numPr>
          <w:ilvl w:val="1"/>
          <w:numId w:val="24"/>
        </w:numPr>
        <w:spacing w:before="0"/>
        <w:ind w:left="567" w:hanging="567"/>
        <w:rPr>
          <w:noProof/>
        </w:rPr>
      </w:pPr>
      <w:r>
        <w:rPr>
          <w:noProof/>
        </w:rPr>
        <w:t>hoonestusõiguse tähtaeg on 50 aastat. Hoonestusõiguse tähtaeg hakkab kulgema hoonestusõiguse kande tegemisest kinnistusraamatusse;</w:t>
      </w:r>
    </w:p>
    <w:p w:rsidR="00C459D6" w:rsidRDefault="00C459D6" w:rsidP="0073068B">
      <w:pPr>
        <w:pStyle w:val="Loetelu"/>
        <w:numPr>
          <w:ilvl w:val="1"/>
          <w:numId w:val="24"/>
        </w:numPr>
        <w:spacing w:before="0"/>
        <w:ind w:left="567" w:hanging="567"/>
        <w:rPr>
          <w:noProof/>
        </w:rPr>
      </w:pPr>
      <w:r>
        <w:rPr>
          <w:noProof/>
        </w:rPr>
        <w:t>hoonestusõigus seatakse tasuta, st et hoonestaja ei maksa hoonestusõiguse eest kinnistu omanikule tasu;</w:t>
      </w:r>
    </w:p>
    <w:p w:rsidR="00C459D6" w:rsidRPr="00890059" w:rsidRDefault="00C459D6" w:rsidP="0073068B">
      <w:pPr>
        <w:pStyle w:val="Loetelu"/>
        <w:numPr>
          <w:ilvl w:val="1"/>
          <w:numId w:val="24"/>
        </w:numPr>
        <w:spacing w:before="0"/>
        <w:ind w:left="567" w:hanging="567"/>
        <w:rPr>
          <w:noProof/>
          <w:u w:val="single"/>
        </w:rPr>
      </w:pPr>
      <w:r w:rsidRPr="00890059">
        <w:rPr>
          <w:noProof/>
          <w:u w:val="single"/>
        </w:rPr>
        <w:t>Hoonestaja on kohustatud:</w:t>
      </w:r>
    </w:p>
    <w:p w:rsidR="00C459D6" w:rsidRDefault="00C459D6" w:rsidP="0073068B">
      <w:pPr>
        <w:pStyle w:val="Loetelu"/>
        <w:numPr>
          <w:ilvl w:val="2"/>
          <w:numId w:val="24"/>
        </w:numPr>
        <w:spacing w:before="0"/>
        <w:ind w:left="709" w:hanging="709"/>
        <w:rPr>
          <w:noProof/>
        </w:rPr>
      </w:pPr>
      <w:r>
        <w:rPr>
          <w:noProof/>
        </w:rPr>
        <w:t>hoonestajal on õigus ja kohustus kasutada hoonestusõigusega koormatud kinnistut üksnes väikesadamana ja väikesadamateenuste osutamiseks ning sellega seonduvate hoonete ja rajatiste ehitamiseks, omamiseks ja kasutamiseks;</w:t>
      </w:r>
    </w:p>
    <w:p w:rsidR="00A026CC" w:rsidRDefault="00A026CC" w:rsidP="0073068B">
      <w:pPr>
        <w:pStyle w:val="Loetelu"/>
        <w:numPr>
          <w:ilvl w:val="2"/>
          <w:numId w:val="24"/>
        </w:numPr>
        <w:spacing w:before="0"/>
        <w:ind w:left="709" w:hanging="709"/>
        <w:rPr>
          <w:noProof/>
        </w:rPr>
      </w:pPr>
      <w:r>
        <w:rPr>
          <w:noProof/>
        </w:rPr>
        <w:t>tagama, et Viimsi valla omandis olevate või Viimsi vallale teenust osutatavate veesõidukite osas tasu ei võeta;</w:t>
      </w:r>
    </w:p>
    <w:p w:rsidR="00C459D6" w:rsidRDefault="00BE7963" w:rsidP="0073068B">
      <w:pPr>
        <w:pStyle w:val="Loetelu"/>
        <w:numPr>
          <w:ilvl w:val="2"/>
          <w:numId w:val="24"/>
        </w:numPr>
        <w:spacing w:before="0"/>
        <w:ind w:left="709" w:hanging="709"/>
        <w:rPr>
          <w:noProof/>
        </w:rPr>
      </w:pPr>
      <w:r>
        <w:rPr>
          <w:noProof/>
        </w:rPr>
        <w:t xml:space="preserve">teostama omal kulul kinnistul projekteerimise-, ehitus-, renoveerimis- ja muud tööd ning teostama toimingud (sh vajalike lubade ja kooskõlastuste taotlemine), mis on </w:t>
      </w:r>
      <w:r>
        <w:rPr>
          <w:noProof/>
        </w:rPr>
        <w:lastRenderedPageBreak/>
        <w:t>vajalikud väikesadama ning sellega seotud hoonete ja rajatiste valmimiseks, kasutusloa väljastamiseks ja kasutusse võtmiseks;</w:t>
      </w:r>
    </w:p>
    <w:p w:rsidR="00BE7963" w:rsidRDefault="00BE7963" w:rsidP="0073068B">
      <w:pPr>
        <w:pStyle w:val="Loetelu"/>
        <w:numPr>
          <w:ilvl w:val="2"/>
          <w:numId w:val="24"/>
        </w:numPr>
        <w:spacing w:before="0"/>
        <w:ind w:left="709" w:hanging="709"/>
        <w:rPr>
          <w:noProof/>
        </w:rPr>
      </w:pPr>
      <w:r>
        <w:t>järgima ehitise projekteerimisel ja ehitamisel head ehitustava, ehitamist ja ehituse projekteerimist reguleerivaid õigusakte ning asjaomaste instantside nõudeid;</w:t>
      </w:r>
    </w:p>
    <w:p w:rsidR="00C64F08" w:rsidRPr="000939C2" w:rsidRDefault="00C64F08" w:rsidP="0073068B">
      <w:pPr>
        <w:pStyle w:val="Loetelu"/>
        <w:numPr>
          <w:ilvl w:val="2"/>
          <w:numId w:val="24"/>
        </w:numPr>
        <w:spacing w:before="0"/>
        <w:ind w:left="709" w:hanging="709"/>
        <w:rPr>
          <w:noProof/>
        </w:rPr>
      </w:pPr>
      <w:r w:rsidRPr="000939C2">
        <w:t xml:space="preserve">tagama pärast ehitiste püstitamist </w:t>
      </w:r>
      <w:r w:rsidR="00890059" w:rsidRPr="000939C2">
        <w:t>nende</w:t>
      </w:r>
      <w:r w:rsidRPr="000939C2">
        <w:t xml:space="preserve"> säilimise;</w:t>
      </w:r>
    </w:p>
    <w:p w:rsidR="00C64F08" w:rsidRPr="000939C2" w:rsidRDefault="00C64F08" w:rsidP="0073068B">
      <w:pPr>
        <w:pStyle w:val="Loetelu"/>
        <w:numPr>
          <w:ilvl w:val="2"/>
          <w:numId w:val="24"/>
        </w:numPr>
        <w:spacing w:before="0"/>
        <w:ind w:left="709" w:hanging="709"/>
        <w:rPr>
          <w:noProof/>
        </w:rPr>
      </w:pPr>
      <w:r w:rsidRPr="000939C2">
        <w:t xml:space="preserve">kui ehitis hävib tervikuna või osaliselt, on </w:t>
      </w:r>
      <w:proofErr w:type="spellStart"/>
      <w:r w:rsidRPr="000939C2">
        <w:t>hoonestaja</w:t>
      </w:r>
      <w:proofErr w:type="spellEnd"/>
      <w:r w:rsidRPr="000939C2">
        <w:t xml:space="preserve"> kohustatud </w:t>
      </w:r>
      <w:r w:rsidR="00156B57">
        <w:t xml:space="preserve">ehitise </w:t>
      </w:r>
      <w:r w:rsidRPr="000939C2">
        <w:t>omal kulul üles ehitama või taastama omaniku poolt sätestatud tähtpäevaks;</w:t>
      </w:r>
    </w:p>
    <w:p w:rsidR="00C64F08" w:rsidRPr="000939C2" w:rsidRDefault="00F95FF3" w:rsidP="0073068B">
      <w:pPr>
        <w:pStyle w:val="Loetelu"/>
        <w:numPr>
          <w:ilvl w:val="2"/>
          <w:numId w:val="24"/>
        </w:numPr>
        <w:spacing w:before="0"/>
        <w:ind w:left="709" w:hanging="709"/>
        <w:rPr>
          <w:noProof/>
        </w:rPr>
      </w:pPr>
      <w:r w:rsidRPr="000939C2">
        <w:rPr>
          <w:noProof/>
        </w:rPr>
        <w:t>tagama hoonestusõigusega koormatud kinnisasja alatise heakorra;</w:t>
      </w:r>
    </w:p>
    <w:p w:rsidR="00E03F74" w:rsidRPr="00173446" w:rsidRDefault="00E03F74" w:rsidP="0073068B">
      <w:pPr>
        <w:pStyle w:val="Loetelu"/>
        <w:numPr>
          <w:ilvl w:val="1"/>
          <w:numId w:val="24"/>
        </w:numPr>
        <w:spacing w:before="0"/>
        <w:ind w:left="567" w:hanging="567"/>
        <w:rPr>
          <w:noProof/>
        </w:rPr>
      </w:pPr>
      <w:r w:rsidRPr="000939C2">
        <w:rPr>
          <w:noProof/>
        </w:rPr>
        <w:t>kõik kinnistul hoonestusõiguse seadmisel olemasolevad rajatised ning hoonestusõiguse</w:t>
      </w:r>
      <w:r>
        <w:rPr>
          <w:noProof/>
        </w:rPr>
        <w:t xml:space="preserve"> kestel püstitatavad hooned ja rajatised muutuvad hoonestusõiguse </w:t>
      </w:r>
      <w:r w:rsidRPr="00173446">
        <w:rPr>
          <w:noProof/>
        </w:rPr>
        <w:t xml:space="preserve">oluliseks osas. </w:t>
      </w:r>
    </w:p>
    <w:p w:rsidR="00F95FF3" w:rsidRDefault="00F95FF3" w:rsidP="00F95FF3">
      <w:pPr>
        <w:pStyle w:val="Loetelu"/>
        <w:numPr>
          <w:ilvl w:val="0"/>
          <w:numId w:val="0"/>
        </w:numPr>
        <w:spacing w:before="0"/>
        <w:ind w:left="993"/>
        <w:rPr>
          <w:noProof/>
        </w:rPr>
      </w:pPr>
    </w:p>
    <w:p w:rsidR="00F95FF3" w:rsidRPr="00F95FF3" w:rsidRDefault="00F95FF3" w:rsidP="00F95FF3">
      <w:pPr>
        <w:pStyle w:val="Loetelu"/>
        <w:numPr>
          <w:ilvl w:val="0"/>
          <w:numId w:val="24"/>
        </w:numPr>
        <w:spacing w:before="0"/>
        <w:rPr>
          <w:b/>
          <w:noProof/>
        </w:rPr>
      </w:pPr>
      <w:r w:rsidRPr="00F95FF3">
        <w:rPr>
          <w:b/>
          <w:noProof/>
        </w:rPr>
        <w:t>Hoonestusõiguse koormamine:</w:t>
      </w:r>
    </w:p>
    <w:p w:rsidR="00F95FF3" w:rsidRPr="0019532D" w:rsidRDefault="00F95FF3" w:rsidP="0073068B">
      <w:pPr>
        <w:pStyle w:val="Loetelu"/>
        <w:numPr>
          <w:ilvl w:val="1"/>
          <w:numId w:val="24"/>
        </w:numPr>
        <w:spacing w:before="0"/>
        <w:ind w:left="567" w:hanging="567"/>
        <w:rPr>
          <w:noProof/>
        </w:rPr>
      </w:pPr>
      <w:r w:rsidRPr="0019532D">
        <w:rPr>
          <w:noProof/>
        </w:rPr>
        <w:t>hoonestaja võib hoonestusõigust koormata isiklike ka</w:t>
      </w:r>
      <w:r w:rsidR="00AF5C80" w:rsidRPr="0019532D">
        <w:rPr>
          <w:noProof/>
        </w:rPr>
        <w:t>sutusõigustega, kasutusvalduseg</w:t>
      </w:r>
      <w:r w:rsidRPr="0019532D">
        <w:rPr>
          <w:noProof/>
        </w:rPr>
        <w:t xml:space="preserve">a </w:t>
      </w:r>
      <w:r w:rsidR="00AF5C80" w:rsidRPr="0019532D">
        <w:rPr>
          <w:noProof/>
        </w:rPr>
        <w:t xml:space="preserve">ning </w:t>
      </w:r>
      <w:r w:rsidRPr="0019532D">
        <w:rPr>
          <w:noProof/>
        </w:rPr>
        <w:t xml:space="preserve">muude asjaõigustega </w:t>
      </w:r>
      <w:r w:rsidR="00AF5C80" w:rsidRPr="0019532D">
        <w:rPr>
          <w:noProof/>
        </w:rPr>
        <w:t xml:space="preserve">üksnes </w:t>
      </w:r>
      <w:r w:rsidRPr="0019532D">
        <w:rPr>
          <w:noProof/>
        </w:rPr>
        <w:t xml:space="preserve">omaniku </w:t>
      </w:r>
      <w:r w:rsidR="0074449C" w:rsidRPr="0019532D">
        <w:rPr>
          <w:noProof/>
        </w:rPr>
        <w:t xml:space="preserve">kirjalikul </w:t>
      </w:r>
      <w:r w:rsidRPr="0019532D">
        <w:rPr>
          <w:noProof/>
        </w:rPr>
        <w:t>nõusolek</w:t>
      </w:r>
      <w:r w:rsidR="00AF5C80" w:rsidRPr="0019532D">
        <w:rPr>
          <w:noProof/>
        </w:rPr>
        <w:t>ul</w:t>
      </w:r>
      <w:r w:rsidRPr="0019532D">
        <w:rPr>
          <w:noProof/>
        </w:rPr>
        <w:t xml:space="preserve">. Võlaõigustega (üür või muud kasutuslepingud) koormamiseks </w:t>
      </w:r>
      <w:r w:rsidR="00AB009B" w:rsidRPr="0019532D">
        <w:rPr>
          <w:noProof/>
        </w:rPr>
        <w:t>e</w:t>
      </w:r>
      <w:r w:rsidR="002C5E79" w:rsidRPr="0019532D">
        <w:rPr>
          <w:noProof/>
        </w:rPr>
        <w:t>i ole omaniku nõusolek vajalik;</w:t>
      </w:r>
    </w:p>
    <w:p w:rsidR="00F95FF3" w:rsidRPr="000939C2" w:rsidRDefault="00F95FF3" w:rsidP="0073068B">
      <w:pPr>
        <w:pStyle w:val="Loetelu"/>
        <w:numPr>
          <w:ilvl w:val="1"/>
          <w:numId w:val="24"/>
        </w:numPr>
        <w:spacing w:before="0"/>
        <w:ind w:left="567" w:hanging="567"/>
        <w:rPr>
          <w:noProof/>
        </w:rPr>
      </w:pPr>
      <w:proofErr w:type="spellStart"/>
      <w:r w:rsidRPr="000939C2">
        <w:rPr>
          <w:lang w:eastAsia="et-EE"/>
        </w:rPr>
        <w:t>hoonestaja</w:t>
      </w:r>
      <w:proofErr w:type="spellEnd"/>
      <w:r w:rsidRPr="000939C2">
        <w:rPr>
          <w:lang w:eastAsia="et-EE"/>
        </w:rPr>
        <w:t xml:space="preserve"> seab </w:t>
      </w:r>
      <w:r w:rsidR="00D0168D" w:rsidRPr="000939C2">
        <w:rPr>
          <w:lang w:eastAsia="et-EE"/>
        </w:rPr>
        <w:t xml:space="preserve">kinnistu </w:t>
      </w:r>
      <w:r w:rsidRPr="000939C2">
        <w:rPr>
          <w:lang w:eastAsia="et-EE"/>
        </w:rPr>
        <w:t>omaniku kasuks kinnistule avaliku kasutuse servituudi;</w:t>
      </w:r>
    </w:p>
    <w:p w:rsidR="00AB009B" w:rsidRPr="000939C2" w:rsidRDefault="00AB009B" w:rsidP="0073068B">
      <w:pPr>
        <w:pStyle w:val="Loetelu"/>
        <w:numPr>
          <w:ilvl w:val="1"/>
          <w:numId w:val="24"/>
        </w:numPr>
        <w:spacing w:before="0"/>
        <w:ind w:left="567" w:hanging="567"/>
        <w:rPr>
          <w:noProof/>
        </w:rPr>
      </w:pPr>
      <w:r w:rsidRPr="000939C2">
        <w:rPr>
          <w:lang w:eastAsia="et-EE"/>
        </w:rPr>
        <w:t xml:space="preserve">käesoleva otsuse punkti 3 ja selle alapunktides nimetatud tingimuste kohta tehakse kanne kinnistusraamatusse. </w:t>
      </w:r>
    </w:p>
    <w:p w:rsidR="00A026CC" w:rsidRDefault="00A026CC" w:rsidP="00A026CC">
      <w:pPr>
        <w:pStyle w:val="Loetelu"/>
        <w:numPr>
          <w:ilvl w:val="0"/>
          <w:numId w:val="0"/>
        </w:numPr>
        <w:spacing w:before="0"/>
        <w:ind w:left="993"/>
        <w:rPr>
          <w:noProof/>
        </w:rPr>
      </w:pPr>
    </w:p>
    <w:p w:rsidR="00EB0715" w:rsidRPr="00A026CC" w:rsidRDefault="00A026CC" w:rsidP="00A026CC">
      <w:pPr>
        <w:pStyle w:val="Loetelu"/>
        <w:numPr>
          <w:ilvl w:val="0"/>
          <w:numId w:val="24"/>
        </w:numPr>
        <w:spacing w:before="0"/>
        <w:rPr>
          <w:b/>
          <w:noProof/>
        </w:rPr>
      </w:pPr>
      <w:r w:rsidRPr="00A026CC">
        <w:rPr>
          <w:b/>
          <w:noProof/>
        </w:rPr>
        <w:t>Hoonestusõiguse võõrandamine:</w:t>
      </w:r>
    </w:p>
    <w:p w:rsidR="00A026CC" w:rsidRDefault="00A026CC" w:rsidP="0073068B">
      <w:pPr>
        <w:pStyle w:val="Loetelu"/>
        <w:numPr>
          <w:ilvl w:val="1"/>
          <w:numId w:val="24"/>
        </w:numPr>
        <w:spacing w:before="0"/>
        <w:ind w:left="567" w:hanging="567"/>
        <w:rPr>
          <w:noProof/>
        </w:rPr>
      </w:pPr>
      <w:r>
        <w:rPr>
          <w:noProof/>
        </w:rPr>
        <w:t>hoonestaja võib hoonestusõigust võõrandada üksnes omaniku nõusolekul;</w:t>
      </w:r>
    </w:p>
    <w:p w:rsidR="00D54D73" w:rsidRDefault="00D54D73" w:rsidP="0073068B">
      <w:pPr>
        <w:pStyle w:val="Loetelu"/>
        <w:numPr>
          <w:ilvl w:val="1"/>
          <w:numId w:val="24"/>
        </w:numPr>
        <w:spacing w:before="0"/>
        <w:ind w:left="567" w:hanging="567"/>
        <w:rPr>
          <w:noProof/>
        </w:rPr>
      </w:pPr>
      <w:r>
        <w:rPr>
          <w:noProof/>
        </w:rPr>
        <w:t xml:space="preserve">hoonestusõiguse võõrandamise nõusoleku andmise tingimuseks on kõigi hoonestusõiguse seadmise lepingus fikseeritud omaniku ja hoonestaja vahel sõlmitud võlaõiguslike kokkulepete ülevõtmine hoonestusõiguse omandaja poolt, mis seisneb hoonestusõiguse </w:t>
      </w:r>
      <w:r w:rsidR="001E08AD">
        <w:rPr>
          <w:noProof/>
        </w:rPr>
        <w:t>võõrandamise lepingus tingimuste sisaldumist, mille kohaselt hoonestusõiguse omandaja võtab üle hoonestusõiguse seadmise lepingus fikseeritud võlaõiguslikud kokkulepped;</w:t>
      </w:r>
    </w:p>
    <w:p w:rsidR="00976AB7" w:rsidRDefault="00976AB7" w:rsidP="0073068B">
      <w:pPr>
        <w:pStyle w:val="Loetelu"/>
        <w:numPr>
          <w:ilvl w:val="1"/>
          <w:numId w:val="24"/>
        </w:numPr>
        <w:spacing w:before="0"/>
        <w:ind w:left="567" w:hanging="567"/>
        <w:rPr>
          <w:noProof/>
        </w:rPr>
      </w:pPr>
      <w:proofErr w:type="spellStart"/>
      <w:r>
        <w:rPr>
          <w:lang w:eastAsia="et-EE"/>
        </w:rPr>
        <w:t>hoonestaja</w:t>
      </w:r>
      <w:proofErr w:type="spellEnd"/>
      <w:r>
        <w:rPr>
          <w:lang w:eastAsia="et-EE"/>
        </w:rPr>
        <w:t xml:space="preserve"> koormab hoonestusõiguse ostueesõigusega kinnistu igakordse omaniku kasuks hoonestusõiguse igakordselt võõrandamisel. Nimetatud kokkule</w:t>
      </w:r>
      <w:r w:rsidR="001E08AD">
        <w:rPr>
          <w:lang w:eastAsia="et-EE"/>
        </w:rPr>
        <w:t xml:space="preserve">pe kantakse kinnistusraamatusse. </w:t>
      </w:r>
    </w:p>
    <w:p w:rsidR="00261E23" w:rsidRDefault="00261E23" w:rsidP="00261E23">
      <w:pPr>
        <w:pStyle w:val="Loetelu"/>
        <w:numPr>
          <w:ilvl w:val="0"/>
          <w:numId w:val="0"/>
        </w:numPr>
        <w:spacing w:before="0"/>
        <w:ind w:left="993"/>
        <w:rPr>
          <w:noProof/>
        </w:rPr>
      </w:pPr>
    </w:p>
    <w:p w:rsidR="00F95FF3" w:rsidRPr="00261E23" w:rsidRDefault="00261E23" w:rsidP="00261E23">
      <w:pPr>
        <w:pStyle w:val="Loetelu"/>
        <w:numPr>
          <w:ilvl w:val="0"/>
          <w:numId w:val="24"/>
        </w:numPr>
        <w:spacing w:before="0"/>
        <w:rPr>
          <w:b/>
          <w:noProof/>
        </w:rPr>
      </w:pPr>
      <w:r w:rsidRPr="00261E23">
        <w:rPr>
          <w:b/>
          <w:noProof/>
        </w:rPr>
        <w:t>Hoonestusõiguse kinnistu omanikule langemine</w:t>
      </w:r>
    </w:p>
    <w:p w:rsidR="00261E23" w:rsidRDefault="00261E23" w:rsidP="0073068B">
      <w:pPr>
        <w:pStyle w:val="Loetelu"/>
        <w:numPr>
          <w:ilvl w:val="1"/>
          <w:numId w:val="24"/>
        </w:numPr>
        <w:spacing w:before="0"/>
        <w:ind w:left="567" w:hanging="567"/>
        <w:rPr>
          <w:noProof/>
        </w:rPr>
      </w:pPr>
      <w:r w:rsidRPr="00261E23">
        <w:rPr>
          <w:noProof/>
        </w:rPr>
        <w:t>hoonestusõigus lõpeb ja langeb omanikule, kui hoonestaja ei ole hiljamalt kuue aasta jooksul peale hoonestusõiguse tekkimist ehitanud valmis detailplaneeringu ehitusõigusega ette nähtud ehitisi. Ehitised loetakse valminuks, kui neile on väljastatud seaduse kohasel</w:t>
      </w:r>
      <w:r>
        <w:rPr>
          <w:noProof/>
        </w:rPr>
        <w:t>t kasutusluba või kasutusteatis;</w:t>
      </w:r>
    </w:p>
    <w:p w:rsidR="00261E23" w:rsidRPr="0019532D" w:rsidRDefault="00261E23" w:rsidP="0073068B">
      <w:pPr>
        <w:pStyle w:val="Loetelu"/>
        <w:numPr>
          <w:ilvl w:val="1"/>
          <w:numId w:val="24"/>
        </w:numPr>
        <w:spacing w:before="0"/>
        <w:ind w:left="567" w:hanging="567"/>
        <w:rPr>
          <w:noProof/>
        </w:rPr>
      </w:pPr>
      <w:r w:rsidRPr="0019532D">
        <w:rPr>
          <w:noProof/>
        </w:rPr>
        <w:t>hoonestusõiguse lõppemisel või hoonestusõiguse omanikule langemisel ei maksa kinnist</w:t>
      </w:r>
      <w:r w:rsidR="00156B57" w:rsidRPr="0019532D">
        <w:rPr>
          <w:noProof/>
        </w:rPr>
        <w:t>u omanik hoonestajale hüvitist</w:t>
      </w:r>
      <w:r w:rsidR="00AF5C80" w:rsidRPr="0019532D">
        <w:rPr>
          <w:noProof/>
        </w:rPr>
        <w:t xml:space="preserve"> ega kompenseeri hoonestusõigusega seonduvalt mistahes tehtud kulutusi</w:t>
      </w:r>
      <w:r w:rsidR="00156B57" w:rsidRPr="0019532D">
        <w:rPr>
          <w:noProof/>
        </w:rPr>
        <w:t>.</w:t>
      </w:r>
    </w:p>
    <w:p w:rsidR="00E03F74" w:rsidRPr="00D54D73" w:rsidRDefault="00E03F74" w:rsidP="00E03F74">
      <w:pPr>
        <w:pStyle w:val="Loetelu"/>
        <w:numPr>
          <w:ilvl w:val="0"/>
          <w:numId w:val="0"/>
        </w:numPr>
        <w:spacing w:before="0"/>
        <w:ind w:left="993"/>
        <w:rPr>
          <w:b/>
          <w:noProof/>
        </w:rPr>
      </w:pPr>
    </w:p>
    <w:p w:rsidR="00F95FF3" w:rsidRDefault="00E03F74" w:rsidP="00E03F74">
      <w:pPr>
        <w:pStyle w:val="Loetelu"/>
        <w:numPr>
          <w:ilvl w:val="0"/>
          <w:numId w:val="24"/>
        </w:numPr>
        <w:spacing w:before="0"/>
        <w:rPr>
          <w:noProof/>
        </w:rPr>
      </w:pPr>
      <w:r w:rsidRPr="00D54D73">
        <w:rPr>
          <w:b/>
          <w:noProof/>
        </w:rPr>
        <w:t>Hoonestusõiguse tähtaja saabumine</w:t>
      </w:r>
    </w:p>
    <w:p w:rsidR="00E03F74" w:rsidRDefault="00E03F74" w:rsidP="0073068B">
      <w:pPr>
        <w:pStyle w:val="Loetelu"/>
        <w:numPr>
          <w:ilvl w:val="1"/>
          <w:numId w:val="24"/>
        </w:numPr>
        <w:spacing w:before="0"/>
        <w:ind w:left="567" w:hanging="567"/>
        <w:rPr>
          <w:noProof/>
        </w:rPr>
      </w:pPr>
      <w:r w:rsidRPr="00440D45">
        <w:rPr>
          <w:noProof/>
        </w:rPr>
        <w:t>hoonestusõiguse tähtaja lõppemisel on hoonestajal eesõigus hoonestusõigust uuendada;</w:t>
      </w:r>
    </w:p>
    <w:p w:rsidR="00E03F74" w:rsidRDefault="00E03F74" w:rsidP="0073068B">
      <w:pPr>
        <w:pStyle w:val="Loetelu"/>
        <w:numPr>
          <w:ilvl w:val="1"/>
          <w:numId w:val="24"/>
        </w:numPr>
        <w:spacing w:before="0"/>
        <w:ind w:left="567" w:hanging="567"/>
        <w:rPr>
          <w:noProof/>
        </w:rPr>
      </w:pPr>
      <w:r>
        <w:rPr>
          <w:noProof/>
        </w:rPr>
        <w:t>hoonestusõiguse lõppemisel muutuvad kinnistul asuvad hooned ja rajatised maa oluliseks osaks, hoonestaja ei või hooneid ega rajatisi hoones</w:t>
      </w:r>
      <w:r w:rsidR="00D54D73">
        <w:rPr>
          <w:noProof/>
        </w:rPr>
        <w:t>tusõiguse lõppemisel ära vedada.</w:t>
      </w:r>
    </w:p>
    <w:p w:rsidR="00D54D73" w:rsidRPr="000939C2" w:rsidRDefault="00D54D73" w:rsidP="0073068B">
      <w:pPr>
        <w:pStyle w:val="Loetelu"/>
        <w:numPr>
          <w:ilvl w:val="0"/>
          <w:numId w:val="24"/>
        </w:numPr>
        <w:rPr>
          <w:noProof/>
        </w:rPr>
      </w:pPr>
      <w:r w:rsidRPr="000939C2">
        <w:rPr>
          <w:noProof/>
        </w:rPr>
        <w:t xml:space="preserve">Kõik hoonestusõigusega koormatud kinnisasjal lasuvad maksud ja avalik-õiguslikud koormatised tasub ja/või kannab hoonestaja. </w:t>
      </w:r>
    </w:p>
    <w:p w:rsidR="001C2949" w:rsidRPr="000939C2" w:rsidRDefault="001C2949" w:rsidP="0073068B">
      <w:pPr>
        <w:pStyle w:val="Loetelu"/>
        <w:numPr>
          <w:ilvl w:val="0"/>
          <w:numId w:val="24"/>
        </w:numPr>
        <w:rPr>
          <w:noProof/>
        </w:rPr>
      </w:pPr>
      <w:r w:rsidRPr="000939C2">
        <w:rPr>
          <w:lang w:eastAsia="et-EE"/>
        </w:rPr>
        <w:t>hoonestusõiguse seadmisega seotud kulud</w:t>
      </w:r>
      <w:r w:rsidR="001E08AD" w:rsidRPr="000939C2">
        <w:rPr>
          <w:lang w:eastAsia="et-EE"/>
        </w:rPr>
        <w:t xml:space="preserve">, notaritasu ja riigilõivu </w:t>
      </w:r>
      <w:r w:rsidR="000939C2" w:rsidRPr="000939C2">
        <w:rPr>
          <w:lang w:eastAsia="et-EE"/>
        </w:rPr>
        <w:t>kannavad</w:t>
      </w:r>
      <w:r w:rsidR="001E08AD" w:rsidRPr="000939C2">
        <w:rPr>
          <w:lang w:eastAsia="et-EE"/>
        </w:rPr>
        <w:t xml:space="preserve"> omanik ja </w:t>
      </w:r>
      <w:proofErr w:type="spellStart"/>
      <w:r w:rsidR="001E08AD" w:rsidRPr="000939C2">
        <w:rPr>
          <w:lang w:eastAsia="et-EE"/>
        </w:rPr>
        <w:t>hoonestaja</w:t>
      </w:r>
      <w:proofErr w:type="spellEnd"/>
      <w:r w:rsidR="001E08AD" w:rsidRPr="000939C2">
        <w:rPr>
          <w:lang w:eastAsia="et-EE"/>
        </w:rPr>
        <w:t xml:space="preserve"> </w:t>
      </w:r>
      <w:r w:rsidR="000939C2" w:rsidRPr="000939C2">
        <w:rPr>
          <w:lang w:eastAsia="et-EE"/>
        </w:rPr>
        <w:t xml:space="preserve">võrdsetes osades. </w:t>
      </w:r>
      <w:r w:rsidR="001E08AD" w:rsidRPr="000939C2">
        <w:rPr>
          <w:lang w:eastAsia="et-EE"/>
        </w:rPr>
        <w:t xml:space="preserve"> </w:t>
      </w:r>
    </w:p>
    <w:p w:rsidR="00BA19D2" w:rsidRDefault="00BA19D2" w:rsidP="00834BED">
      <w:pPr>
        <w:pStyle w:val="Loetelu"/>
        <w:numPr>
          <w:ilvl w:val="0"/>
          <w:numId w:val="24"/>
        </w:numPr>
        <w:ind w:left="426" w:hanging="426"/>
        <w:rPr>
          <w:noProof/>
        </w:rPr>
      </w:pPr>
      <w:r>
        <w:lastRenderedPageBreak/>
        <w:t>Anda volitused vallavanemale (edasivolitamise õigusega) hoonestusõiguse lepingu sõlmimiseks (sh volituse hoonestusõiguse lepingu täitmise käigus vajalike omaniku nõusolekute jms andmiseks) MTÜ-ga Tammneeme Sadam.</w:t>
      </w:r>
    </w:p>
    <w:p w:rsidR="00C037C6" w:rsidRDefault="001E08AD" w:rsidP="00834BED">
      <w:pPr>
        <w:pStyle w:val="Loetelu"/>
        <w:numPr>
          <w:ilvl w:val="0"/>
          <w:numId w:val="24"/>
        </w:numPr>
        <w:ind w:left="426" w:hanging="426"/>
        <w:rPr>
          <w:noProof/>
        </w:rPr>
      </w:pPr>
      <w:r>
        <w:rPr>
          <w:noProof/>
        </w:rPr>
        <w:t xml:space="preserve">Otsus jõustub teatavakstegemisest MTÜ-le Tammneeme Sadam. </w:t>
      </w:r>
    </w:p>
    <w:p w:rsidR="00F510E9" w:rsidRDefault="001E08AD" w:rsidP="001E08AD">
      <w:pPr>
        <w:pStyle w:val="Loetelu"/>
        <w:numPr>
          <w:ilvl w:val="0"/>
          <w:numId w:val="24"/>
        </w:numPr>
        <w:ind w:left="426" w:hanging="426"/>
        <w:rPr>
          <w:noProof/>
        </w:rPr>
      </w:pPr>
      <w:r>
        <w:t>Otsust on võimalik vaidlustada Tallinna Halduskohtus (Pärnu mnt 7, Tallinn) või esitada vaie Viimsi Vallavolikogule 30 päeva jooksul arvates otsuse teatavakstegemisest</w:t>
      </w:r>
    </w:p>
    <w:tbl>
      <w:tblPr>
        <w:tblW w:w="9288" w:type="dxa"/>
        <w:tblLayout w:type="fixed"/>
        <w:tblLook w:val="0000" w:firstRow="0" w:lastRow="0" w:firstColumn="0" w:lastColumn="0" w:noHBand="0" w:noVBand="0"/>
      </w:tblPr>
      <w:tblGrid>
        <w:gridCol w:w="6001"/>
        <w:gridCol w:w="3287"/>
      </w:tblGrid>
      <w:tr w:rsidR="00005551" w:rsidTr="00663F9E">
        <w:trPr>
          <w:cantSplit/>
        </w:trPr>
        <w:tc>
          <w:tcPr>
            <w:tcW w:w="9288" w:type="dxa"/>
            <w:gridSpan w:val="2"/>
          </w:tcPr>
          <w:p w:rsidR="00005551" w:rsidRDefault="00005551" w:rsidP="00663F9E">
            <w:pPr>
              <w:pStyle w:val="Kehatekst"/>
              <w:tabs>
                <w:tab w:val="left" w:pos="6521"/>
              </w:tabs>
              <w:jc w:val="left"/>
              <w:rPr>
                <w:noProof/>
              </w:rPr>
            </w:pPr>
          </w:p>
        </w:tc>
      </w:tr>
      <w:tr w:rsidR="00005551" w:rsidTr="00663F9E">
        <w:trPr>
          <w:cantSplit/>
        </w:trPr>
        <w:tc>
          <w:tcPr>
            <w:tcW w:w="9288" w:type="dxa"/>
            <w:gridSpan w:val="2"/>
          </w:tcPr>
          <w:p w:rsidR="00005551" w:rsidRDefault="00005551" w:rsidP="00663F9E">
            <w:pPr>
              <w:pStyle w:val="Kehatekst"/>
              <w:tabs>
                <w:tab w:val="left" w:pos="6521"/>
              </w:tabs>
              <w:jc w:val="left"/>
              <w:rPr>
                <w:noProof/>
              </w:rPr>
            </w:pPr>
          </w:p>
        </w:tc>
      </w:tr>
      <w:tr w:rsidR="00005551" w:rsidTr="00663F9E">
        <w:trPr>
          <w:cantSplit/>
        </w:trPr>
        <w:tc>
          <w:tcPr>
            <w:tcW w:w="9288" w:type="dxa"/>
            <w:gridSpan w:val="2"/>
          </w:tcPr>
          <w:p w:rsidR="00005551" w:rsidRDefault="00005551" w:rsidP="00663F9E">
            <w:pPr>
              <w:pStyle w:val="Kehatekst"/>
              <w:tabs>
                <w:tab w:val="left" w:pos="6521"/>
              </w:tabs>
              <w:jc w:val="left"/>
              <w:rPr>
                <w:noProof/>
              </w:rPr>
            </w:pPr>
          </w:p>
        </w:tc>
      </w:tr>
      <w:tr w:rsidR="00005551" w:rsidTr="00663F9E">
        <w:trPr>
          <w:cantSplit/>
        </w:trPr>
        <w:tc>
          <w:tcPr>
            <w:tcW w:w="9288" w:type="dxa"/>
            <w:gridSpan w:val="2"/>
          </w:tcPr>
          <w:p w:rsidR="00005551" w:rsidRDefault="00005551" w:rsidP="00663F9E">
            <w:pPr>
              <w:pStyle w:val="Kehatekst"/>
              <w:tabs>
                <w:tab w:val="left" w:pos="6521"/>
              </w:tabs>
              <w:jc w:val="left"/>
              <w:rPr>
                <w:noProof/>
              </w:rPr>
            </w:pPr>
          </w:p>
        </w:tc>
      </w:tr>
      <w:tr w:rsidR="001E08AD" w:rsidTr="00663F9E">
        <w:trPr>
          <w:cantSplit/>
        </w:trPr>
        <w:tc>
          <w:tcPr>
            <w:tcW w:w="9288" w:type="dxa"/>
            <w:gridSpan w:val="2"/>
          </w:tcPr>
          <w:p w:rsidR="001E08AD" w:rsidRDefault="001E08AD" w:rsidP="00663F9E">
            <w:pPr>
              <w:pStyle w:val="Kehatekst"/>
              <w:tabs>
                <w:tab w:val="left" w:pos="6521"/>
              </w:tabs>
              <w:jc w:val="left"/>
              <w:rPr>
                <w:noProof/>
              </w:rPr>
            </w:pPr>
          </w:p>
        </w:tc>
      </w:tr>
      <w:tr w:rsidR="001E08AD" w:rsidTr="00663F9E">
        <w:trPr>
          <w:cantSplit/>
        </w:trPr>
        <w:tc>
          <w:tcPr>
            <w:tcW w:w="6001" w:type="dxa"/>
          </w:tcPr>
          <w:p w:rsidR="001E08AD" w:rsidRDefault="001E08AD" w:rsidP="00663F9E">
            <w:pPr>
              <w:pStyle w:val="Kehatekst"/>
              <w:tabs>
                <w:tab w:val="left" w:pos="6521"/>
              </w:tabs>
              <w:jc w:val="left"/>
              <w:rPr>
                <w:noProof/>
              </w:rPr>
            </w:pPr>
          </w:p>
        </w:tc>
        <w:tc>
          <w:tcPr>
            <w:tcW w:w="3287" w:type="dxa"/>
          </w:tcPr>
          <w:p w:rsidR="001E08AD" w:rsidRDefault="001E08AD" w:rsidP="00663F9E">
            <w:pPr>
              <w:pStyle w:val="Kehatekst"/>
              <w:tabs>
                <w:tab w:val="left" w:pos="6521"/>
              </w:tabs>
              <w:jc w:val="left"/>
              <w:rPr>
                <w:noProof/>
              </w:rPr>
            </w:pPr>
          </w:p>
        </w:tc>
      </w:tr>
      <w:tr w:rsidR="001E08AD" w:rsidTr="00663F9E">
        <w:trPr>
          <w:cantSplit/>
        </w:trPr>
        <w:tc>
          <w:tcPr>
            <w:tcW w:w="6001" w:type="dxa"/>
          </w:tcPr>
          <w:p w:rsidR="001E08AD" w:rsidRDefault="001E08AD" w:rsidP="00663F9E">
            <w:pPr>
              <w:pStyle w:val="Kehatekst"/>
              <w:tabs>
                <w:tab w:val="left" w:pos="6521"/>
              </w:tabs>
              <w:jc w:val="left"/>
              <w:rPr>
                <w:noProof/>
              </w:rPr>
            </w:pPr>
            <w:r>
              <w:rPr>
                <w:noProof/>
              </w:rPr>
              <w:t>Vallavolikogu esimees</w:t>
            </w:r>
          </w:p>
        </w:tc>
        <w:tc>
          <w:tcPr>
            <w:tcW w:w="3287" w:type="dxa"/>
          </w:tcPr>
          <w:p w:rsidR="001E08AD" w:rsidRDefault="001E08AD" w:rsidP="00663F9E">
            <w:pPr>
              <w:pStyle w:val="Kehatekst"/>
              <w:tabs>
                <w:tab w:val="left" w:pos="6521"/>
              </w:tabs>
              <w:jc w:val="left"/>
              <w:rPr>
                <w:noProof/>
              </w:rPr>
            </w:pPr>
          </w:p>
        </w:tc>
      </w:tr>
    </w:tbl>
    <w:p w:rsidR="00005551" w:rsidRDefault="00005551" w:rsidP="00005551">
      <w:pPr>
        <w:tabs>
          <w:tab w:val="left" w:pos="2029"/>
        </w:tabs>
      </w:pPr>
    </w:p>
    <w:p w:rsidR="0019532D" w:rsidRDefault="0019532D" w:rsidP="00005551">
      <w:pPr>
        <w:tabs>
          <w:tab w:val="left" w:pos="2029"/>
        </w:tabs>
      </w:pPr>
    </w:p>
    <w:p w:rsidR="0019532D" w:rsidRPr="001C184A" w:rsidRDefault="0019532D" w:rsidP="0019532D">
      <w:pPr>
        <w:pStyle w:val="Bodyd"/>
        <w:numPr>
          <w:ilvl w:val="0"/>
          <w:numId w:val="0"/>
        </w:numPr>
        <w:jc w:val="both"/>
        <w:rPr>
          <w:rFonts w:ascii="Times New Roman" w:hAnsi="Times New Roman" w:cs="Times New Roman"/>
          <w:lang w:val="et-EE"/>
        </w:rPr>
      </w:pPr>
      <w:r w:rsidRPr="001C184A">
        <w:rPr>
          <w:rFonts w:ascii="Times New Roman" w:hAnsi="Times New Roman" w:cs="Times New Roman"/>
          <w:lang w:val="et-EE"/>
        </w:rPr>
        <w:t>Eelnõu esitaja: Viimsi Vallavalitsus</w:t>
      </w:r>
    </w:p>
    <w:p w:rsidR="0019532D" w:rsidRPr="001C184A" w:rsidRDefault="0019532D" w:rsidP="0019532D">
      <w:pPr>
        <w:pStyle w:val="Bodyd"/>
        <w:numPr>
          <w:ilvl w:val="0"/>
          <w:numId w:val="0"/>
        </w:numPr>
        <w:jc w:val="both"/>
        <w:rPr>
          <w:rFonts w:ascii="Times New Roman" w:hAnsi="Times New Roman" w:cs="Times New Roman"/>
          <w:lang w:val="et-EE"/>
        </w:rPr>
      </w:pPr>
      <w:r>
        <w:rPr>
          <w:rFonts w:ascii="Times New Roman" w:hAnsi="Times New Roman" w:cs="Times New Roman"/>
          <w:lang w:val="et-EE"/>
        </w:rPr>
        <w:t>Eelnõu koostaja: vallakantselei</w:t>
      </w:r>
    </w:p>
    <w:p w:rsidR="0019532D" w:rsidRPr="001C184A" w:rsidRDefault="0019532D" w:rsidP="0019532D"/>
    <w:p w:rsidR="0019532D" w:rsidRPr="001C184A" w:rsidRDefault="0019532D" w:rsidP="0019532D"/>
    <w:p w:rsidR="0019532D" w:rsidRPr="001C184A" w:rsidRDefault="0019532D" w:rsidP="0019532D">
      <w:r w:rsidRPr="001C184A">
        <w:t xml:space="preserve">Kooskõlastatud: </w:t>
      </w:r>
    </w:p>
    <w:p w:rsidR="0019532D" w:rsidRPr="001C184A" w:rsidRDefault="0019532D" w:rsidP="0019532D"/>
    <w:p w:rsidR="0019532D" w:rsidRDefault="0019532D" w:rsidP="0019532D"/>
    <w:p w:rsidR="0019532D" w:rsidRPr="001C184A" w:rsidRDefault="0019532D" w:rsidP="0019532D"/>
    <w:tbl>
      <w:tblPr>
        <w:tblW w:w="0" w:type="auto"/>
        <w:tblInd w:w="108" w:type="dxa"/>
        <w:tblLook w:val="04A0" w:firstRow="1" w:lastRow="0" w:firstColumn="1" w:lastColumn="0" w:noHBand="0" w:noVBand="1"/>
      </w:tblPr>
      <w:tblGrid>
        <w:gridCol w:w="2947"/>
        <w:gridCol w:w="2487"/>
        <w:gridCol w:w="3529"/>
      </w:tblGrid>
      <w:tr w:rsidR="0019532D" w:rsidRPr="001C184A" w:rsidTr="00837FE9">
        <w:tc>
          <w:tcPr>
            <w:tcW w:w="2986" w:type="dxa"/>
            <w:shd w:val="clear" w:color="auto" w:fill="auto"/>
          </w:tcPr>
          <w:p w:rsidR="0019532D" w:rsidRPr="001C184A" w:rsidRDefault="0019532D" w:rsidP="00837FE9">
            <w:r w:rsidRPr="001C184A">
              <w:t>Rein Loik</w:t>
            </w:r>
          </w:p>
        </w:tc>
        <w:tc>
          <w:tcPr>
            <w:tcW w:w="2507" w:type="dxa"/>
            <w:shd w:val="clear" w:color="auto" w:fill="auto"/>
          </w:tcPr>
          <w:p w:rsidR="0019532D" w:rsidRPr="00F1061A" w:rsidRDefault="0019532D" w:rsidP="00837FE9">
            <w:r>
              <w:t>Margus Talsi</w:t>
            </w:r>
          </w:p>
        </w:tc>
        <w:tc>
          <w:tcPr>
            <w:tcW w:w="3579" w:type="dxa"/>
            <w:shd w:val="clear" w:color="auto" w:fill="auto"/>
          </w:tcPr>
          <w:p w:rsidR="0019532D" w:rsidRPr="001C184A" w:rsidRDefault="0019532D" w:rsidP="00837FE9">
            <w:r w:rsidRPr="001C184A">
              <w:t>Kristi Tomingas</w:t>
            </w:r>
          </w:p>
        </w:tc>
      </w:tr>
      <w:tr w:rsidR="0019532D" w:rsidRPr="001C184A" w:rsidTr="00837FE9">
        <w:tc>
          <w:tcPr>
            <w:tcW w:w="2986" w:type="dxa"/>
            <w:shd w:val="clear" w:color="auto" w:fill="auto"/>
          </w:tcPr>
          <w:p w:rsidR="0019532D" w:rsidRPr="001C184A" w:rsidRDefault="0019532D" w:rsidP="00837FE9">
            <w:r w:rsidRPr="001C184A">
              <w:t>Vallavanem</w:t>
            </w:r>
          </w:p>
        </w:tc>
        <w:tc>
          <w:tcPr>
            <w:tcW w:w="2507" w:type="dxa"/>
            <w:shd w:val="clear" w:color="auto" w:fill="auto"/>
          </w:tcPr>
          <w:p w:rsidR="0019532D" w:rsidRPr="00F1061A" w:rsidRDefault="0019532D" w:rsidP="00837FE9">
            <w:r w:rsidRPr="00F1061A">
              <w:t>Abivallavanem</w:t>
            </w:r>
          </w:p>
        </w:tc>
        <w:tc>
          <w:tcPr>
            <w:tcW w:w="3579" w:type="dxa"/>
            <w:shd w:val="clear" w:color="auto" w:fill="auto"/>
          </w:tcPr>
          <w:p w:rsidR="0019532D" w:rsidRPr="001C184A" w:rsidRDefault="0019532D" w:rsidP="00837FE9">
            <w:r w:rsidRPr="001C184A">
              <w:t>Vallasekretär</w:t>
            </w:r>
          </w:p>
        </w:tc>
      </w:tr>
    </w:tbl>
    <w:p w:rsidR="0019532D" w:rsidRPr="001C184A" w:rsidRDefault="0019532D" w:rsidP="0019532D"/>
    <w:p w:rsidR="0019532D" w:rsidRDefault="0019532D" w:rsidP="0019532D"/>
    <w:p w:rsidR="0019532D" w:rsidRPr="001C184A" w:rsidRDefault="0019532D" w:rsidP="0019532D"/>
    <w:tbl>
      <w:tblPr>
        <w:tblW w:w="0" w:type="auto"/>
        <w:tblInd w:w="108" w:type="dxa"/>
        <w:tblLook w:val="04A0" w:firstRow="1" w:lastRow="0" w:firstColumn="1" w:lastColumn="0" w:noHBand="0" w:noVBand="1"/>
      </w:tblPr>
      <w:tblGrid>
        <w:gridCol w:w="2960"/>
        <w:gridCol w:w="2938"/>
        <w:gridCol w:w="3065"/>
      </w:tblGrid>
      <w:tr w:rsidR="0019532D" w:rsidRPr="001C184A" w:rsidTr="00837FE9">
        <w:tc>
          <w:tcPr>
            <w:tcW w:w="2980" w:type="dxa"/>
            <w:shd w:val="clear" w:color="auto" w:fill="auto"/>
          </w:tcPr>
          <w:p w:rsidR="0019532D" w:rsidRPr="001C184A" w:rsidRDefault="0019532D" w:rsidP="00837FE9">
            <w:r w:rsidRPr="001C184A">
              <w:t>Erik Vest</w:t>
            </w:r>
          </w:p>
        </w:tc>
        <w:tc>
          <w:tcPr>
            <w:tcW w:w="2974" w:type="dxa"/>
            <w:shd w:val="clear" w:color="auto" w:fill="auto"/>
          </w:tcPr>
          <w:p w:rsidR="0019532D" w:rsidRPr="001C184A" w:rsidRDefault="0019532D" w:rsidP="00837FE9">
            <w:r>
              <w:t>Merit Renlund</w:t>
            </w:r>
          </w:p>
        </w:tc>
        <w:tc>
          <w:tcPr>
            <w:tcW w:w="3118" w:type="dxa"/>
            <w:shd w:val="clear" w:color="auto" w:fill="auto"/>
          </w:tcPr>
          <w:p w:rsidR="0019532D" w:rsidRPr="001C184A" w:rsidRDefault="0019532D" w:rsidP="00837FE9"/>
        </w:tc>
      </w:tr>
      <w:tr w:rsidR="0019532D" w:rsidRPr="001C184A" w:rsidTr="00837FE9">
        <w:tc>
          <w:tcPr>
            <w:tcW w:w="2980" w:type="dxa"/>
            <w:shd w:val="clear" w:color="auto" w:fill="auto"/>
          </w:tcPr>
          <w:p w:rsidR="0019532D" w:rsidRPr="001C184A" w:rsidRDefault="0019532D" w:rsidP="00837FE9">
            <w:r w:rsidRPr="001C184A">
              <w:t xml:space="preserve">Keskkonna- ja </w:t>
            </w:r>
          </w:p>
          <w:p w:rsidR="0019532D" w:rsidRPr="001C184A" w:rsidRDefault="0019532D" w:rsidP="00837FE9">
            <w:r w:rsidRPr="001C184A">
              <w:t xml:space="preserve">planeerimisameti juhataja </w:t>
            </w:r>
          </w:p>
        </w:tc>
        <w:tc>
          <w:tcPr>
            <w:tcW w:w="2974" w:type="dxa"/>
            <w:shd w:val="clear" w:color="auto" w:fill="auto"/>
          </w:tcPr>
          <w:p w:rsidR="0019532D" w:rsidRPr="001C184A" w:rsidRDefault="0019532D" w:rsidP="00837FE9">
            <w:r>
              <w:t xml:space="preserve">Jurist </w:t>
            </w:r>
          </w:p>
        </w:tc>
        <w:tc>
          <w:tcPr>
            <w:tcW w:w="3118" w:type="dxa"/>
            <w:shd w:val="clear" w:color="auto" w:fill="auto"/>
          </w:tcPr>
          <w:p w:rsidR="0019532D" w:rsidRPr="001C184A" w:rsidRDefault="0019532D" w:rsidP="00837FE9"/>
        </w:tc>
      </w:tr>
    </w:tbl>
    <w:p w:rsidR="0019532D" w:rsidRDefault="0019532D" w:rsidP="0073068B">
      <w:r>
        <w:br w:type="page"/>
      </w:r>
    </w:p>
    <w:p w:rsidR="0019532D" w:rsidRPr="0019532D" w:rsidRDefault="0019532D" w:rsidP="0019532D">
      <w:pPr>
        <w:tabs>
          <w:tab w:val="left" w:pos="6001"/>
        </w:tabs>
        <w:rPr>
          <w:b/>
        </w:rPr>
      </w:pPr>
      <w:r w:rsidRPr="0019532D">
        <w:rPr>
          <w:b/>
        </w:rPr>
        <w:lastRenderedPageBreak/>
        <w:t>Seletuskiri</w:t>
      </w:r>
    </w:p>
    <w:p w:rsidR="0019532D" w:rsidRPr="0019532D" w:rsidRDefault="0019532D" w:rsidP="0019532D">
      <w:pPr>
        <w:tabs>
          <w:tab w:val="left" w:pos="6001"/>
        </w:tabs>
      </w:pPr>
      <w:r w:rsidRPr="0019532D">
        <w:t xml:space="preserve">Viimsi Vallavolikogu otsuse </w:t>
      </w:r>
    </w:p>
    <w:p w:rsidR="0019532D" w:rsidRPr="0019532D" w:rsidRDefault="0019532D" w:rsidP="0019532D">
      <w:pPr>
        <w:tabs>
          <w:tab w:val="left" w:pos="6001"/>
        </w:tabs>
        <w:rPr>
          <w:iCs/>
          <w:noProof/>
        </w:rPr>
      </w:pPr>
      <w:r w:rsidRPr="0019532D">
        <w:t>„</w:t>
      </w:r>
      <w:r w:rsidRPr="0019532D">
        <w:rPr>
          <w:iCs/>
          <w:noProof/>
        </w:rPr>
        <w:t>Mereääre tee 11 kinnistule hoonestusõiguse seadmine MTÜ Tammneeme Sadam kasuks“</w:t>
      </w:r>
    </w:p>
    <w:p w:rsidR="0019532D" w:rsidRPr="0019532D" w:rsidRDefault="0019532D" w:rsidP="0019532D">
      <w:pPr>
        <w:tabs>
          <w:tab w:val="left" w:pos="6001"/>
        </w:tabs>
        <w:rPr>
          <w:iCs/>
          <w:noProof/>
        </w:rPr>
      </w:pPr>
      <w:r w:rsidRPr="0019532D">
        <w:rPr>
          <w:iCs/>
          <w:noProof/>
        </w:rPr>
        <w:t>eelnõu juurde</w:t>
      </w:r>
    </w:p>
    <w:p w:rsidR="0019532D" w:rsidRPr="0019532D" w:rsidRDefault="0019532D" w:rsidP="0019532D">
      <w:pPr>
        <w:tabs>
          <w:tab w:val="left" w:pos="6001"/>
        </w:tabs>
        <w:rPr>
          <w:iCs/>
          <w:noProof/>
        </w:rPr>
      </w:pPr>
    </w:p>
    <w:p w:rsidR="0019532D" w:rsidRPr="0019532D" w:rsidRDefault="0019532D" w:rsidP="0019532D">
      <w:pPr>
        <w:tabs>
          <w:tab w:val="left" w:pos="6001"/>
        </w:tabs>
        <w:rPr>
          <w:iCs/>
          <w:noProof/>
        </w:rPr>
      </w:pPr>
    </w:p>
    <w:p w:rsidR="0019532D" w:rsidRPr="0019532D" w:rsidRDefault="0019532D" w:rsidP="0019532D">
      <w:pPr>
        <w:tabs>
          <w:tab w:val="left" w:pos="6521"/>
        </w:tabs>
        <w:jc w:val="both"/>
      </w:pPr>
      <w:r w:rsidRPr="0019532D">
        <w:t xml:space="preserve">Viimsi Vallavalitsuse ja Tammneeme Sadam MTÜ vahel on 14.10.2013 sõlmitud hoonestusõiguse seadmise eelleping, mille kohaselt lepiti kokku, et peale detailplaneeringu alusel iseseisva sadama-ala katastriüksuse moodustamist ja Viimsi Vallavolikogu vastavat otsust seab vald Tammneeme Sadama MTÜ kasuks hoonestusõiguse tasu maksmise kohustuseta tähtajaga 50 aastat. Tammneeme ranna-ala ja sellega külgneva mereala detailplaneering kehtestati Viimsi Vallavalitsuse 23. november 2016 korraldusega nr 720 </w:t>
      </w:r>
      <w:r w:rsidRPr="0019532D">
        <w:rPr>
          <w:i/>
        </w:rPr>
        <w:t>„Tammneeme külas, kinnistu Tammneeme ranna-ala ja sellega külgneva mereala detailplaneeringu kehtestamine“.</w:t>
      </w:r>
      <w:r w:rsidRPr="0019532D">
        <w:t xml:space="preserve"> </w:t>
      </w:r>
    </w:p>
    <w:p w:rsidR="0019532D" w:rsidRPr="0019532D" w:rsidRDefault="0019532D" w:rsidP="0019532D">
      <w:pPr>
        <w:tabs>
          <w:tab w:val="left" w:pos="6001"/>
        </w:tabs>
        <w:rPr>
          <w:iCs/>
          <w:noProof/>
        </w:rPr>
      </w:pPr>
    </w:p>
    <w:p w:rsidR="0019532D" w:rsidRPr="0019532D" w:rsidRDefault="0019532D" w:rsidP="0019532D">
      <w:pPr>
        <w:tabs>
          <w:tab w:val="left" w:pos="6001"/>
        </w:tabs>
        <w:jc w:val="both"/>
        <w:rPr>
          <w:iCs/>
          <w:noProof/>
        </w:rPr>
      </w:pPr>
      <w:r w:rsidRPr="0019532D">
        <w:rPr>
          <w:iCs/>
          <w:noProof/>
        </w:rPr>
        <w:t>Hoonestusõiguse seadmise eesmärk on taastada vana külasadam ja anda see külarahva kasutusse. Hoonestusõiguse seadmine MTÜ Tammneeme Sadam kasuks võimaldab MTÜ-l taotleda erinevatest programmides rahastust väikesadama rajamiseks.</w:t>
      </w:r>
    </w:p>
    <w:p w:rsidR="0019532D" w:rsidRPr="0019532D" w:rsidRDefault="0019532D" w:rsidP="0019532D">
      <w:pPr>
        <w:tabs>
          <w:tab w:val="left" w:pos="6001"/>
        </w:tabs>
        <w:jc w:val="both"/>
        <w:rPr>
          <w:iCs/>
          <w:noProof/>
        </w:rPr>
      </w:pPr>
    </w:p>
    <w:p w:rsidR="0019532D" w:rsidRPr="0019532D" w:rsidRDefault="0019532D" w:rsidP="0019532D">
      <w:pPr>
        <w:tabs>
          <w:tab w:val="left" w:pos="6001"/>
        </w:tabs>
        <w:jc w:val="both"/>
        <w:rPr>
          <w:noProof/>
          <w:szCs w:val="20"/>
        </w:rPr>
      </w:pPr>
      <w:r w:rsidRPr="0019532D">
        <w:rPr>
          <w:iCs/>
          <w:noProof/>
        </w:rPr>
        <w:t xml:space="preserve">Hoonestusõigus (HÕ) on juriidiline konstruktsioon, mis lubab maaga püsivalt ühendatud ehitise tsiviilkäivet lahus maast, sest TSÜS § 54 lg 2 kohaselt ei ole hoonestusõiguse alusel püstitatud ehitis maatüki oluline osa. HÕ on maatüki koormatis, mille sisu kohaselt võib teine isik omada ehitist koormatud maatükil. HÕ eesmärgiks on väikesadama </w:t>
      </w:r>
      <w:r w:rsidRPr="0019532D">
        <w:rPr>
          <w:noProof/>
          <w:szCs w:val="20"/>
        </w:rPr>
        <w:t xml:space="preserve"> ning sellega seonduvate hoonete ja rajatiste ehitamine väikesadamateenuste osutamiseks. </w:t>
      </w:r>
    </w:p>
    <w:p w:rsidR="0019532D" w:rsidRPr="0019532D" w:rsidRDefault="0019532D" w:rsidP="0019532D">
      <w:pPr>
        <w:tabs>
          <w:tab w:val="left" w:pos="6001"/>
        </w:tabs>
        <w:rPr>
          <w:noProof/>
          <w:szCs w:val="20"/>
        </w:rPr>
      </w:pPr>
    </w:p>
    <w:p w:rsidR="0019532D" w:rsidRPr="0019532D" w:rsidRDefault="0019532D" w:rsidP="0019532D">
      <w:pPr>
        <w:tabs>
          <w:tab w:val="left" w:pos="6001"/>
        </w:tabs>
        <w:jc w:val="both"/>
        <w:rPr>
          <w:noProof/>
          <w:szCs w:val="20"/>
        </w:rPr>
      </w:pPr>
      <w:r w:rsidRPr="0019532D">
        <w:rPr>
          <w:noProof/>
          <w:szCs w:val="20"/>
        </w:rPr>
        <w:t xml:space="preserve">Kuna HÕ on tähtajaline õigus, tuleb ette näha ehitiste saatus HÕ tähtaja möödumisel. Asjaõigusseaduse § 252 kohaselt on hoonestajal õigus HÕ tähtaja saabumisel ehitis ära vedada (sisuliselt lammutada). Käesoleval juhul lepitakse kokku, et hoonestaja ei kasuta seda õigust ning ehitis jääb kinnisasja omanikule (vallale) – langeb omanikule. Ehitise omanikule langemine on ette nähtud ka õiguskaitsevahendina lepingu rikkumise puhuks. </w:t>
      </w:r>
    </w:p>
    <w:p w:rsidR="0019532D" w:rsidRPr="0019532D" w:rsidRDefault="0019532D" w:rsidP="0019532D">
      <w:pPr>
        <w:tabs>
          <w:tab w:val="left" w:pos="6001"/>
        </w:tabs>
        <w:rPr>
          <w:noProof/>
          <w:szCs w:val="20"/>
        </w:rPr>
      </w:pPr>
    </w:p>
    <w:p w:rsidR="0019532D" w:rsidRPr="0019532D" w:rsidRDefault="0019532D" w:rsidP="0019532D">
      <w:pPr>
        <w:jc w:val="both"/>
        <w:rPr>
          <w:noProof/>
          <w:szCs w:val="20"/>
        </w:rPr>
      </w:pPr>
      <w:r w:rsidRPr="0019532D">
        <w:rPr>
          <w:noProof/>
          <w:szCs w:val="20"/>
        </w:rPr>
        <w:t xml:space="preserve">Üldjuhul on HÕ tasuline (AÕS § 254 lg 1). Tasu maksmise võib ka välistada, nagu käesoleval juhul tehakse. </w:t>
      </w:r>
    </w:p>
    <w:p w:rsidR="0019532D" w:rsidRPr="0019532D" w:rsidRDefault="0019532D" w:rsidP="0019532D">
      <w:pPr>
        <w:jc w:val="both"/>
        <w:rPr>
          <w:noProof/>
          <w:szCs w:val="20"/>
        </w:rPr>
      </w:pPr>
      <w:r w:rsidRPr="0019532D">
        <w:rPr>
          <w:noProof/>
          <w:szCs w:val="20"/>
        </w:rPr>
        <w:t>HÕ lõppemisel või HÕ omanikule langemisel ei maksa kinnistu omanik hoonestajale hüvitist ega kompenseeri hoonestusõigusega seonduvalt mistahes tehtud kulutusi.</w:t>
      </w:r>
    </w:p>
    <w:p w:rsidR="0019532D" w:rsidRPr="0019532D" w:rsidRDefault="0019532D" w:rsidP="0019532D">
      <w:pPr>
        <w:tabs>
          <w:tab w:val="left" w:pos="6001"/>
        </w:tabs>
        <w:rPr>
          <w:noProof/>
          <w:szCs w:val="20"/>
        </w:rPr>
      </w:pPr>
    </w:p>
    <w:p w:rsidR="0019532D" w:rsidRPr="0019532D" w:rsidRDefault="0019532D" w:rsidP="0019532D">
      <w:pPr>
        <w:tabs>
          <w:tab w:val="left" w:pos="6001"/>
        </w:tabs>
        <w:jc w:val="both"/>
        <w:rPr>
          <w:noProof/>
          <w:szCs w:val="20"/>
        </w:rPr>
      </w:pPr>
      <w:r w:rsidRPr="0019532D">
        <w:rPr>
          <w:noProof/>
          <w:szCs w:val="20"/>
        </w:rPr>
        <w:t>Kuna HÕ on kinnisasi, siis on hoonestajal õigus vastavalt AÕS § 249 lõikele 1 seda võõrandada ja koormata kinnispandi, servituudi, reaalkoormatise või ostueesõigusega. AÕS § 249 lõike 1</w:t>
      </w:r>
      <w:r w:rsidRPr="0019532D">
        <w:rPr>
          <w:noProof/>
          <w:szCs w:val="20"/>
          <w:vertAlign w:val="superscript"/>
        </w:rPr>
        <w:t>1</w:t>
      </w:r>
      <w:r w:rsidRPr="0019532D">
        <w:rPr>
          <w:noProof/>
          <w:szCs w:val="20"/>
        </w:rPr>
        <w:t xml:space="preserve"> ja 2 kohaselt saab seada HÕ võõrandamise ja koormamise tingimuseks omaniku nõusoleku, juhul kui selline tingimus on kantud kinnistusraamatusse. Käesoleval juhul hoonestaja võib hoonestusõigust koormata isiklike kasutusõigustega, kasutusvaldusega ning muude asjaõigustega üksnes omaniku kirjaliku nõusolekul ning nimetatud tingimuse osas tehakse kanne ka kinnistusraamatusse. Võlaõigustega (üür või muud kasutuslepingud) koormamiseks ei ole omaniku nõusolek vajalik. </w:t>
      </w:r>
    </w:p>
    <w:p w:rsidR="0019532D" w:rsidRPr="0019532D" w:rsidRDefault="0019532D" w:rsidP="0019532D">
      <w:pPr>
        <w:spacing w:after="160" w:line="259" w:lineRule="auto"/>
        <w:rPr>
          <w:rFonts w:asciiTheme="minorHAnsi" w:eastAsiaTheme="minorHAnsi" w:hAnsiTheme="minorHAnsi" w:cstheme="minorBidi"/>
          <w:sz w:val="22"/>
          <w:szCs w:val="22"/>
        </w:rPr>
      </w:pPr>
    </w:p>
    <w:p w:rsidR="0019532D" w:rsidRPr="0019532D" w:rsidRDefault="0019532D" w:rsidP="0019532D">
      <w:pPr>
        <w:spacing w:after="160" w:line="259" w:lineRule="auto"/>
        <w:rPr>
          <w:rFonts w:asciiTheme="minorHAnsi" w:eastAsiaTheme="minorHAnsi" w:hAnsiTheme="minorHAnsi" w:cstheme="minorBidi"/>
          <w:sz w:val="22"/>
          <w:szCs w:val="22"/>
        </w:rPr>
      </w:pPr>
    </w:p>
    <w:p w:rsidR="002C5E79" w:rsidRPr="0073068B" w:rsidRDefault="0019532D" w:rsidP="0073068B">
      <w:pPr>
        <w:spacing w:after="160" w:line="259" w:lineRule="auto"/>
        <w:rPr>
          <w:rFonts w:eastAsiaTheme="minorHAnsi"/>
        </w:rPr>
      </w:pPr>
      <w:r w:rsidRPr="0019532D">
        <w:rPr>
          <w:rFonts w:eastAsiaTheme="minorHAnsi"/>
        </w:rPr>
        <w:t>Koostaja: Merit Renlund, jurist</w:t>
      </w:r>
      <w:bookmarkStart w:id="0" w:name="_GoBack"/>
      <w:bookmarkEnd w:id="0"/>
    </w:p>
    <w:sectPr w:rsidR="002C5E79" w:rsidRPr="0073068B" w:rsidSect="0073068B">
      <w:pgSz w:w="11906" w:h="16838" w:code="9"/>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F3A"/>
    <w:multiLevelType w:val="hybridMultilevel"/>
    <w:tmpl w:val="9842949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16C35DDF"/>
    <w:multiLevelType w:val="hybridMultilevel"/>
    <w:tmpl w:val="DB40B816"/>
    <w:lvl w:ilvl="0" w:tplc="4878A3E4">
      <w:numFmt w:val="bullet"/>
      <w:lvlText w:val="-"/>
      <w:lvlJc w:val="left"/>
      <w:pPr>
        <w:tabs>
          <w:tab w:val="num" w:pos="3780"/>
        </w:tabs>
        <w:ind w:left="3780" w:hanging="360"/>
      </w:pPr>
      <w:rPr>
        <w:rFonts w:ascii="Times New Roman" w:eastAsia="Times New Roman" w:hAnsi="Times New Roman" w:cs="Times New Roman" w:hint="default"/>
      </w:rPr>
    </w:lvl>
    <w:lvl w:ilvl="1" w:tplc="04250003" w:tentative="1">
      <w:start w:val="1"/>
      <w:numFmt w:val="bullet"/>
      <w:lvlText w:val="o"/>
      <w:lvlJc w:val="left"/>
      <w:pPr>
        <w:tabs>
          <w:tab w:val="num" w:pos="4500"/>
        </w:tabs>
        <w:ind w:left="4500" w:hanging="360"/>
      </w:pPr>
      <w:rPr>
        <w:rFonts w:ascii="Courier New" w:hAnsi="Courier New" w:cs="Courier New" w:hint="default"/>
      </w:rPr>
    </w:lvl>
    <w:lvl w:ilvl="2" w:tplc="04250005" w:tentative="1">
      <w:start w:val="1"/>
      <w:numFmt w:val="bullet"/>
      <w:lvlText w:val=""/>
      <w:lvlJc w:val="left"/>
      <w:pPr>
        <w:tabs>
          <w:tab w:val="num" w:pos="5220"/>
        </w:tabs>
        <w:ind w:left="5220" w:hanging="360"/>
      </w:pPr>
      <w:rPr>
        <w:rFonts w:ascii="Wingdings" w:hAnsi="Wingdings" w:hint="default"/>
      </w:rPr>
    </w:lvl>
    <w:lvl w:ilvl="3" w:tplc="04250001" w:tentative="1">
      <w:start w:val="1"/>
      <w:numFmt w:val="bullet"/>
      <w:lvlText w:val=""/>
      <w:lvlJc w:val="left"/>
      <w:pPr>
        <w:tabs>
          <w:tab w:val="num" w:pos="5940"/>
        </w:tabs>
        <w:ind w:left="5940" w:hanging="360"/>
      </w:pPr>
      <w:rPr>
        <w:rFonts w:ascii="Symbol" w:hAnsi="Symbol" w:hint="default"/>
      </w:rPr>
    </w:lvl>
    <w:lvl w:ilvl="4" w:tplc="04250003" w:tentative="1">
      <w:start w:val="1"/>
      <w:numFmt w:val="bullet"/>
      <w:lvlText w:val="o"/>
      <w:lvlJc w:val="left"/>
      <w:pPr>
        <w:tabs>
          <w:tab w:val="num" w:pos="6660"/>
        </w:tabs>
        <w:ind w:left="6660" w:hanging="360"/>
      </w:pPr>
      <w:rPr>
        <w:rFonts w:ascii="Courier New" w:hAnsi="Courier New" w:cs="Courier New" w:hint="default"/>
      </w:rPr>
    </w:lvl>
    <w:lvl w:ilvl="5" w:tplc="04250005" w:tentative="1">
      <w:start w:val="1"/>
      <w:numFmt w:val="bullet"/>
      <w:lvlText w:val=""/>
      <w:lvlJc w:val="left"/>
      <w:pPr>
        <w:tabs>
          <w:tab w:val="num" w:pos="7380"/>
        </w:tabs>
        <w:ind w:left="7380" w:hanging="360"/>
      </w:pPr>
      <w:rPr>
        <w:rFonts w:ascii="Wingdings" w:hAnsi="Wingdings" w:hint="default"/>
      </w:rPr>
    </w:lvl>
    <w:lvl w:ilvl="6" w:tplc="04250001" w:tentative="1">
      <w:start w:val="1"/>
      <w:numFmt w:val="bullet"/>
      <w:lvlText w:val=""/>
      <w:lvlJc w:val="left"/>
      <w:pPr>
        <w:tabs>
          <w:tab w:val="num" w:pos="8100"/>
        </w:tabs>
        <w:ind w:left="8100" w:hanging="360"/>
      </w:pPr>
      <w:rPr>
        <w:rFonts w:ascii="Symbol" w:hAnsi="Symbol" w:hint="default"/>
      </w:rPr>
    </w:lvl>
    <w:lvl w:ilvl="7" w:tplc="04250003" w:tentative="1">
      <w:start w:val="1"/>
      <w:numFmt w:val="bullet"/>
      <w:lvlText w:val="o"/>
      <w:lvlJc w:val="left"/>
      <w:pPr>
        <w:tabs>
          <w:tab w:val="num" w:pos="8820"/>
        </w:tabs>
        <w:ind w:left="8820" w:hanging="360"/>
      </w:pPr>
      <w:rPr>
        <w:rFonts w:ascii="Courier New" w:hAnsi="Courier New" w:cs="Courier New" w:hint="default"/>
      </w:rPr>
    </w:lvl>
    <w:lvl w:ilvl="8" w:tplc="04250005" w:tentative="1">
      <w:start w:val="1"/>
      <w:numFmt w:val="bullet"/>
      <w:lvlText w:val=""/>
      <w:lvlJc w:val="left"/>
      <w:pPr>
        <w:tabs>
          <w:tab w:val="num" w:pos="9540"/>
        </w:tabs>
        <w:ind w:left="9540" w:hanging="360"/>
      </w:pPr>
      <w:rPr>
        <w:rFonts w:ascii="Wingdings" w:hAnsi="Wingdings" w:hint="default"/>
      </w:rPr>
    </w:lvl>
  </w:abstractNum>
  <w:abstractNum w:abstractNumId="2" w15:restartNumberingAfterBreak="0">
    <w:nsid w:val="203B2BA1"/>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B86EC0"/>
    <w:multiLevelType w:val="hybridMultilevel"/>
    <w:tmpl w:val="19F41B5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E040D31"/>
    <w:multiLevelType w:val="multilevel"/>
    <w:tmpl w:val="72BC32D4"/>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0EE6755"/>
    <w:multiLevelType w:val="multilevel"/>
    <w:tmpl w:val="60F0308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FD0EB2"/>
    <w:multiLevelType w:val="multilevel"/>
    <w:tmpl w:val="CE9CC7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41077E35"/>
    <w:multiLevelType w:val="multilevel"/>
    <w:tmpl w:val="CB701EC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1746CA"/>
    <w:multiLevelType w:val="hybridMultilevel"/>
    <w:tmpl w:val="06E6EF90"/>
    <w:lvl w:ilvl="0" w:tplc="F3709810">
      <w:start w:val="3"/>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15:restartNumberingAfterBreak="0">
    <w:nsid w:val="43DA43C4"/>
    <w:multiLevelType w:val="multilevel"/>
    <w:tmpl w:val="09A4354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7617EE4"/>
    <w:multiLevelType w:val="multilevel"/>
    <w:tmpl w:val="DFEAD0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AF7D5D"/>
    <w:multiLevelType w:val="hybridMultilevel"/>
    <w:tmpl w:val="AEC0A69C"/>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B452E00"/>
    <w:multiLevelType w:val="hybridMultilevel"/>
    <w:tmpl w:val="C982F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E0745C"/>
    <w:multiLevelType w:val="multilevel"/>
    <w:tmpl w:val="09A4354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3435F83"/>
    <w:multiLevelType w:val="hybridMultilevel"/>
    <w:tmpl w:val="56602252"/>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5845425"/>
    <w:multiLevelType w:val="multilevel"/>
    <w:tmpl w:val="CEB6C7B2"/>
    <w:lvl w:ilvl="0">
      <w:start w:val="1"/>
      <w:numFmt w:val="decimal"/>
      <w:suff w:val="space"/>
      <w:lvlText w:val="%1."/>
      <w:lvlJc w:val="left"/>
      <w:rPr>
        <w:rFonts w:cs="Times New Roman" w:hint="default"/>
      </w:rPr>
    </w:lvl>
    <w:lvl w:ilvl="1">
      <w:start w:val="1"/>
      <w:numFmt w:val="decimal"/>
      <w:pStyle w:val="Bodyd"/>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74FF2F7C"/>
    <w:multiLevelType w:val="hybridMultilevel"/>
    <w:tmpl w:val="4440B636"/>
    <w:lvl w:ilvl="0" w:tplc="2E9098FA">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A2E187A"/>
    <w:multiLevelType w:val="hybridMultilevel"/>
    <w:tmpl w:val="9500875C"/>
    <w:lvl w:ilvl="0" w:tplc="C50C0DF4">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8" w15:restartNumberingAfterBreak="0">
    <w:nsid w:val="7B30295F"/>
    <w:multiLevelType w:val="multilevel"/>
    <w:tmpl w:val="9EF49D98"/>
    <w:lvl w:ilvl="0">
      <w:start w:val="1"/>
      <w:numFmt w:val="decimal"/>
      <w:lvlText w:val="%1."/>
      <w:lvlJc w:val="left"/>
      <w:pPr>
        <w:ind w:left="780" w:hanging="780"/>
      </w:pPr>
      <w:rPr>
        <w:rFonts w:hint="default"/>
      </w:rPr>
    </w:lvl>
    <w:lvl w:ilvl="1">
      <w:start w:val="1"/>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6"/>
  </w:num>
  <w:num w:numId="3">
    <w:abstractNumId w:val="17"/>
  </w:num>
  <w:num w:numId="4">
    <w:abstractNumId w:val="4"/>
  </w:num>
  <w:num w:numId="5">
    <w:abstractNumId w:val="4"/>
  </w:num>
  <w:num w:numId="6">
    <w:abstractNumId w:val="1"/>
  </w:num>
  <w:num w:numId="7">
    <w:abstractNumId w:val="7"/>
  </w:num>
  <w:num w:numId="8">
    <w:abstractNumId w:val="10"/>
  </w:num>
  <w:num w:numId="9">
    <w:abstractNumId w:val="4"/>
  </w:num>
  <w:num w:numId="10">
    <w:abstractNumId w:val="4"/>
  </w:num>
  <w:num w:numId="11">
    <w:abstractNumId w:val="4"/>
  </w:num>
  <w:num w:numId="12">
    <w:abstractNumId w:val="4"/>
  </w:num>
  <w:num w:numId="13">
    <w:abstractNumId w:val="4"/>
  </w:num>
  <w:num w:numId="14">
    <w:abstractNumId w:val="4"/>
  </w:num>
  <w:num w:numId="15">
    <w:abstractNumId w:val="0"/>
  </w:num>
  <w:num w:numId="16">
    <w:abstractNumId w:val="3"/>
  </w:num>
  <w:num w:numId="17">
    <w:abstractNumId w:val="11"/>
  </w:num>
  <w:num w:numId="18">
    <w:abstractNumId w:val="5"/>
  </w:num>
  <w:num w:numId="19">
    <w:abstractNumId w:val="16"/>
  </w:num>
  <w:num w:numId="20">
    <w:abstractNumId w:val="12"/>
  </w:num>
  <w:num w:numId="21">
    <w:abstractNumId w:val="9"/>
  </w:num>
  <w:num w:numId="22">
    <w:abstractNumId w:val="13"/>
  </w:num>
  <w:num w:numId="23">
    <w:abstractNumId w:val="8"/>
  </w:num>
  <w:num w:numId="24">
    <w:abstractNumId w:val="2"/>
  </w:num>
  <w:num w:numId="25">
    <w:abstractNumId w:val="14"/>
  </w:num>
  <w:num w:numId="26">
    <w:abstractNumId w:val="18"/>
  </w:num>
  <w:num w:numId="27">
    <w:abstractNumId w:val="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2F"/>
    <w:rsid w:val="00005551"/>
    <w:rsid w:val="00012002"/>
    <w:rsid w:val="00015E7E"/>
    <w:rsid w:val="000939C2"/>
    <w:rsid w:val="000C1027"/>
    <w:rsid w:val="00106A94"/>
    <w:rsid w:val="0010780D"/>
    <w:rsid w:val="0014332F"/>
    <w:rsid w:val="00156B57"/>
    <w:rsid w:val="00165A1C"/>
    <w:rsid w:val="00173446"/>
    <w:rsid w:val="001806DF"/>
    <w:rsid w:val="00185B4B"/>
    <w:rsid w:val="0019532D"/>
    <w:rsid w:val="001B7B43"/>
    <w:rsid w:val="001C2949"/>
    <w:rsid w:val="001C42B9"/>
    <w:rsid w:val="001E08AD"/>
    <w:rsid w:val="001F562C"/>
    <w:rsid w:val="00201573"/>
    <w:rsid w:val="00206AC0"/>
    <w:rsid w:val="0023221D"/>
    <w:rsid w:val="00244C2C"/>
    <w:rsid w:val="00255580"/>
    <w:rsid w:val="00261E23"/>
    <w:rsid w:val="00284DF8"/>
    <w:rsid w:val="002902F8"/>
    <w:rsid w:val="002B10A6"/>
    <w:rsid w:val="002B1CB9"/>
    <w:rsid w:val="002C5E79"/>
    <w:rsid w:val="002D6FF0"/>
    <w:rsid w:val="002F6DEA"/>
    <w:rsid w:val="00303A9A"/>
    <w:rsid w:val="0030763A"/>
    <w:rsid w:val="0031703C"/>
    <w:rsid w:val="00373711"/>
    <w:rsid w:val="003A2E65"/>
    <w:rsid w:val="003A599E"/>
    <w:rsid w:val="003B37ED"/>
    <w:rsid w:val="003B465A"/>
    <w:rsid w:val="003B4D54"/>
    <w:rsid w:val="003D3EA8"/>
    <w:rsid w:val="00440D45"/>
    <w:rsid w:val="004607B6"/>
    <w:rsid w:val="00474AC8"/>
    <w:rsid w:val="004A433B"/>
    <w:rsid w:val="00542AB6"/>
    <w:rsid w:val="005472E8"/>
    <w:rsid w:val="005D01F1"/>
    <w:rsid w:val="005D26B5"/>
    <w:rsid w:val="005D556F"/>
    <w:rsid w:val="005D55FB"/>
    <w:rsid w:val="005D5C11"/>
    <w:rsid w:val="005E3FE0"/>
    <w:rsid w:val="005E6ED2"/>
    <w:rsid w:val="005F1CD0"/>
    <w:rsid w:val="0060144A"/>
    <w:rsid w:val="00610DA8"/>
    <w:rsid w:val="006202A6"/>
    <w:rsid w:val="006438DE"/>
    <w:rsid w:val="0064658A"/>
    <w:rsid w:val="00664A71"/>
    <w:rsid w:val="006812B9"/>
    <w:rsid w:val="006B609C"/>
    <w:rsid w:val="006D5A87"/>
    <w:rsid w:val="006F7CD0"/>
    <w:rsid w:val="007004EE"/>
    <w:rsid w:val="0073068B"/>
    <w:rsid w:val="007369D5"/>
    <w:rsid w:val="0074449C"/>
    <w:rsid w:val="00765D55"/>
    <w:rsid w:val="00766A26"/>
    <w:rsid w:val="00786843"/>
    <w:rsid w:val="00793DDC"/>
    <w:rsid w:val="007F2DD4"/>
    <w:rsid w:val="007F7078"/>
    <w:rsid w:val="008078CE"/>
    <w:rsid w:val="00814BE4"/>
    <w:rsid w:val="0082252F"/>
    <w:rsid w:val="008270AC"/>
    <w:rsid w:val="00834BED"/>
    <w:rsid w:val="0083574F"/>
    <w:rsid w:val="00835953"/>
    <w:rsid w:val="00867FD0"/>
    <w:rsid w:val="00872341"/>
    <w:rsid w:val="00877A5C"/>
    <w:rsid w:val="00890059"/>
    <w:rsid w:val="008B03E2"/>
    <w:rsid w:val="008C5212"/>
    <w:rsid w:val="008D0413"/>
    <w:rsid w:val="008E2A97"/>
    <w:rsid w:val="008F28FE"/>
    <w:rsid w:val="008F2F1A"/>
    <w:rsid w:val="008F7EC4"/>
    <w:rsid w:val="00924924"/>
    <w:rsid w:val="00962DA1"/>
    <w:rsid w:val="00976AB7"/>
    <w:rsid w:val="00985456"/>
    <w:rsid w:val="00990051"/>
    <w:rsid w:val="009942BB"/>
    <w:rsid w:val="0099498A"/>
    <w:rsid w:val="009B76A6"/>
    <w:rsid w:val="009E5B43"/>
    <w:rsid w:val="009F46BB"/>
    <w:rsid w:val="00A026CC"/>
    <w:rsid w:val="00A05ABA"/>
    <w:rsid w:val="00A22425"/>
    <w:rsid w:val="00A328E5"/>
    <w:rsid w:val="00A36507"/>
    <w:rsid w:val="00A43A5E"/>
    <w:rsid w:val="00A84A1C"/>
    <w:rsid w:val="00AB009B"/>
    <w:rsid w:val="00AC383A"/>
    <w:rsid w:val="00AF4AD6"/>
    <w:rsid w:val="00AF5C80"/>
    <w:rsid w:val="00B06FCC"/>
    <w:rsid w:val="00B3215D"/>
    <w:rsid w:val="00B34C90"/>
    <w:rsid w:val="00B71947"/>
    <w:rsid w:val="00BA19D2"/>
    <w:rsid w:val="00BB0E15"/>
    <w:rsid w:val="00BB2BDD"/>
    <w:rsid w:val="00BD3EFB"/>
    <w:rsid w:val="00BE7963"/>
    <w:rsid w:val="00BF64F3"/>
    <w:rsid w:val="00C037C6"/>
    <w:rsid w:val="00C03A16"/>
    <w:rsid w:val="00C23EAB"/>
    <w:rsid w:val="00C459D6"/>
    <w:rsid w:val="00C46328"/>
    <w:rsid w:val="00C64F08"/>
    <w:rsid w:val="00C66B58"/>
    <w:rsid w:val="00CA2B49"/>
    <w:rsid w:val="00CA4F58"/>
    <w:rsid w:val="00CC4129"/>
    <w:rsid w:val="00D0168D"/>
    <w:rsid w:val="00D14E02"/>
    <w:rsid w:val="00D353D3"/>
    <w:rsid w:val="00D432AF"/>
    <w:rsid w:val="00D4571D"/>
    <w:rsid w:val="00D5419C"/>
    <w:rsid w:val="00D54D73"/>
    <w:rsid w:val="00D676E4"/>
    <w:rsid w:val="00D82362"/>
    <w:rsid w:val="00D900CA"/>
    <w:rsid w:val="00DC59B8"/>
    <w:rsid w:val="00E03F74"/>
    <w:rsid w:val="00E04FAF"/>
    <w:rsid w:val="00E13B88"/>
    <w:rsid w:val="00E21C51"/>
    <w:rsid w:val="00E22801"/>
    <w:rsid w:val="00E44959"/>
    <w:rsid w:val="00E550CF"/>
    <w:rsid w:val="00EB0715"/>
    <w:rsid w:val="00EB6FBD"/>
    <w:rsid w:val="00EB7421"/>
    <w:rsid w:val="00EC3C67"/>
    <w:rsid w:val="00F04E1E"/>
    <w:rsid w:val="00F0785F"/>
    <w:rsid w:val="00F16EDA"/>
    <w:rsid w:val="00F33A26"/>
    <w:rsid w:val="00F45322"/>
    <w:rsid w:val="00F47819"/>
    <w:rsid w:val="00F510E9"/>
    <w:rsid w:val="00F95FF3"/>
    <w:rsid w:val="00FA63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84E80D-123C-4BB0-B852-E694A1C9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pPr>
      <w:jc w:val="both"/>
    </w:pPr>
    <w:rPr>
      <w:szCs w:val="20"/>
    </w:rPr>
  </w:style>
  <w:style w:type="paragraph" w:customStyle="1" w:styleId="Pea">
    <w:name w:val="Pea"/>
    <w:basedOn w:val="Kehatekst"/>
    <w:pPr>
      <w:ind w:left="-1134"/>
      <w:jc w:val="center"/>
    </w:pPr>
    <w:rPr>
      <w:sz w:val="28"/>
    </w:rPr>
  </w:style>
  <w:style w:type="paragraph" w:customStyle="1" w:styleId="Loetelu">
    <w:name w:val="Loetelu"/>
    <w:basedOn w:val="Kehatekst"/>
    <w:pPr>
      <w:numPr>
        <w:numId w:val="1"/>
      </w:numPr>
      <w:spacing w:before="120"/>
    </w:pPr>
  </w:style>
  <w:style w:type="paragraph" w:customStyle="1" w:styleId="Bodyt">
    <w:name w:val="Bodyt"/>
    <w:basedOn w:val="Normaallaad"/>
    <w:pPr>
      <w:numPr>
        <w:ilvl w:val="1"/>
        <w:numId w:val="1"/>
      </w:numPr>
      <w:jc w:val="both"/>
    </w:pPr>
    <w:rPr>
      <w:szCs w:val="20"/>
    </w:rPr>
  </w:style>
  <w:style w:type="paragraph" w:styleId="Jutumullitekst">
    <w:name w:val="Balloon Text"/>
    <w:basedOn w:val="Normaallaad"/>
    <w:semiHidden/>
    <w:rsid w:val="00012002"/>
    <w:rPr>
      <w:rFonts w:ascii="Tahoma" w:hAnsi="Tahoma" w:cs="Tahoma"/>
      <w:sz w:val="16"/>
      <w:szCs w:val="16"/>
    </w:rPr>
  </w:style>
  <w:style w:type="character" w:styleId="Hperlink">
    <w:name w:val="Hyperlink"/>
    <w:basedOn w:val="Liguvaikefont"/>
    <w:uiPriority w:val="99"/>
    <w:unhideWhenUsed/>
    <w:rsid w:val="00303A9A"/>
    <w:rPr>
      <w:rFonts w:ascii="Verdana" w:hAnsi="Verdana" w:hint="default"/>
      <w:strike w:val="0"/>
      <w:dstrike w:val="0"/>
      <w:color w:val="019EDD"/>
      <w:sz w:val="17"/>
      <w:szCs w:val="17"/>
      <w:u w:val="none"/>
      <w:effect w:val="none"/>
    </w:rPr>
  </w:style>
  <w:style w:type="paragraph" w:customStyle="1" w:styleId="Bodyd">
    <w:name w:val="Bodyd"/>
    <w:basedOn w:val="Normaallaad"/>
    <w:rsid w:val="0019532D"/>
    <w:pPr>
      <w:numPr>
        <w:ilvl w:val="1"/>
        <w:numId w:val="28"/>
      </w:numPr>
      <w:autoSpaceDE w:val="0"/>
      <w:autoSpaceDN w:val="0"/>
    </w:pPr>
    <w:rPr>
      <w:rFonts w:ascii="Tahoma" w:hAnsi="Tahoma" w:cs="Taho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aamet.ee/ky/FindKYbyT.asp?txtCU=89001:001:088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90D66-DCF1-4F8F-8243-6CC45761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1318</Words>
  <Characters>7649</Characters>
  <Application>Microsoft Office Word</Application>
  <DocSecurity>0</DocSecurity>
  <Lines>63</Lines>
  <Paragraphs>17</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VIIMSI VALLAVALITSUS</vt:lpstr>
      <vt:lpstr>VIIMSI VALLAVALITSUS</vt:lpstr>
      <vt:lpstr>VIIMSI VALLAVALITSUS</vt:lpstr>
    </vt:vector>
  </TitlesOfParts>
  <Company>VVV</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VIIMSI VALLAVALITSUS</dc:title>
  <dc:subject/>
  <dc:creator>kristo</dc:creator>
  <cp:keywords/>
  <cp:lastModifiedBy>Birgit Mägi</cp:lastModifiedBy>
  <cp:revision>6</cp:revision>
  <cp:lastPrinted>2017-06-15T12:14:00Z</cp:lastPrinted>
  <dcterms:created xsi:type="dcterms:W3CDTF">2017-06-09T11:23:00Z</dcterms:created>
  <dcterms:modified xsi:type="dcterms:W3CDTF">2017-06-15T12:22:00Z</dcterms:modified>
</cp:coreProperties>
</file>