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72" w:type="dxa"/>
        <w:tblLayout w:type="fixed"/>
        <w:tblLook w:val="0000" w:firstRow="0" w:lastRow="0" w:firstColumn="0" w:lastColumn="0" w:noHBand="0" w:noVBand="0"/>
      </w:tblPr>
      <w:tblGrid>
        <w:gridCol w:w="4820"/>
        <w:gridCol w:w="992"/>
        <w:gridCol w:w="3260"/>
      </w:tblGrid>
      <w:tr w:rsidR="00892780" w:rsidTr="005664A5">
        <w:trPr>
          <w:cantSplit/>
        </w:trPr>
        <w:tc>
          <w:tcPr>
            <w:tcW w:w="9072" w:type="dxa"/>
            <w:gridSpan w:val="3"/>
            <w:shd w:val="clear" w:color="auto" w:fill="auto"/>
          </w:tcPr>
          <w:p w:rsidR="00892780" w:rsidRDefault="00892780">
            <w:pPr>
              <w:jc w:val="right"/>
              <w:rPr>
                <w:b/>
                <w:bCs/>
              </w:rPr>
            </w:pPr>
            <w:proofErr w:type="spellStart"/>
            <w:r>
              <w:rPr>
                <w:b/>
                <w:bCs/>
              </w:rPr>
              <w:t>Pkp</w:t>
            </w:r>
            <w:proofErr w:type="spellEnd"/>
            <w:r>
              <w:rPr>
                <w:b/>
                <w:bCs/>
              </w:rPr>
              <w:t>.</w:t>
            </w:r>
          </w:p>
        </w:tc>
      </w:tr>
      <w:tr w:rsidR="00892780" w:rsidTr="005664A5">
        <w:trPr>
          <w:cantSplit/>
        </w:trPr>
        <w:tc>
          <w:tcPr>
            <w:tcW w:w="9072" w:type="dxa"/>
            <w:gridSpan w:val="3"/>
            <w:shd w:val="clear" w:color="auto" w:fill="auto"/>
          </w:tcPr>
          <w:p w:rsidR="00892780" w:rsidRDefault="00892780">
            <w:pPr>
              <w:jc w:val="right"/>
              <w:rPr>
                <w:bCs/>
                <w:i/>
              </w:rPr>
            </w:pPr>
            <w:r>
              <w:rPr>
                <w:b/>
                <w:bCs/>
              </w:rPr>
              <w:t>Eelnõu nr</w:t>
            </w:r>
          </w:p>
        </w:tc>
      </w:tr>
      <w:tr w:rsidR="00892780" w:rsidTr="005664A5">
        <w:trPr>
          <w:cantSplit/>
        </w:trPr>
        <w:tc>
          <w:tcPr>
            <w:tcW w:w="9072" w:type="dxa"/>
            <w:gridSpan w:val="3"/>
            <w:shd w:val="clear" w:color="auto" w:fill="auto"/>
          </w:tcPr>
          <w:p w:rsidR="00892780" w:rsidRDefault="00892780">
            <w:pPr>
              <w:jc w:val="right"/>
              <w:rPr>
                <w:bCs/>
                <w:i/>
              </w:rPr>
            </w:pPr>
            <w:r>
              <w:rPr>
                <w:bCs/>
                <w:i/>
              </w:rPr>
              <w:t>lihthäälteenamus</w:t>
            </w: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Pea"/>
              <w:ind w:left="0"/>
            </w:pPr>
            <w:r>
              <w:t>VIIMSI VALLAVOLIKOGU</w:t>
            </w: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jc w:val="center"/>
              <w:rPr>
                <w:sz w:val="24"/>
                <w:szCs w:val="24"/>
              </w:rPr>
            </w:pP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Pea"/>
              <w:ind w:left="0"/>
            </w:pPr>
            <w:r>
              <w:rPr>
                <w:b/>
                <w:bCs/>
              </w:rPr>
              <w:t>OTSUS</w:t>
            </w: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jc w:val="center"/>
              <w:rPr>
                <w:sz w:val="24"/>
                <w:szCs w:val="24"/>
              </w:rPr>
            </w:pP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rPr>
                <w:sz w:val="24"/>
                <w:szCs w:val="24"/>
              </w:rPr>
            </w:pPr>
          </w:p>
        </w:tc>
      </w:tr>
      <w:tr w:rsidR="005664A5" w:rsidTr="005664A5">
        <w:tblPrEx>
          <w:tblCellMar>
            <w:left w:w="0" w:type="dxa"/>
            <w:right w:w="0" w:type="dxa"/>
          </w:tblCellMar>
        </w:tblPrEx>
        <w:trPr>
          <w:cantSplit/>
        </w:trPr>
        <w:tc>
          <w:tcPr>
            <w:tcW w:w="5812" w:type="dxa"/>
            <w:gridSpan w:val="2"/>
            <w:shd w:val="clear" w:color="auto" w:fill="auto"/>
          </w:tcPr>
          <w:p w:rsidR="005664A5" w:rsidRDefault="005664A5">
            <w:pPr>
              <w:pStyle w:val="Kehatekst"/>
              <w:tabs>
                <w:tab w:val="left" w:pos="6521"/>
              </w:tabs>
              <w:rPr>
                <w:sz w:val="24"/>
                <w:szCs w:val="24"/>
              </w:rPr>
            </w:pPr>
            <w:r>
              <w:rPr>
                <w:sz w:val="24"/>
                <w:szCs w:val="24"/>
              </w:rPr>
              <w:t>Viimsi</w:t>
            </w:r>
          </w:p>
        </w:tc>
        <w:tc>
          <w:tcPr>
            <w:tcW w:w="3260" w:type="dxa"/>
            <w:shd w:val="clear" w:color="auto" w:fill="auto"/>
          </w:tcPr>
          <w:p w:rsidR="005664A5" w:rsidRDefault="005664A5" w:rsidP="00847327">
            <w:pPr>
              <w:pStyle w:val="Kehatekst"/>
              <w:tabs>
                <w:tab w:val="left" w:pos="6521"/>
              </w:tabs>
            </w:pPr>
            <w:r>
              <w:rPr>
                <w:sz w:val="24"/>
                <w:szCs w:val="24"/>
              </w:rPr>
              <w:t xml:space="preserve">                           9. mai 2017 nr </w:t>
            </w: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snapToGrid w:val="0"/>
              <w:rPr>
                <w:sz w:val="24"/>
                <w:szCs w:val="24"/>
              </w:rPr>
            </w:pP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rPr>
                <w:sz w:val="24"/>
                <w:szCs w:val="24"/>
              </w:rPr>
            </w:pPr>
          </w:p>
        </w:tc>
      </w:tr>
      <w:tr w:rsidR="005664A5" w:rsidTr="00CA4ABE">
        <w:tblPrEx>
          <w:tblCellMar>
            <w:left w:w="0" w:type="dxa"/>
            <w:right w:w="0" w:type="dxa"/>
          </w:tblCellMar>
        </w:tblPrEx>
        <w:trPr>
          <w:cantSplit/>
        </w:trPr>
        <w:tc>
          <w:tcPr>
            <w:tcW w:w="4820" w:type="dxa"/>
            <w:shd w:val="clear" w:color="auto" w:fill="auto"/>
          </w:tcPr>
          <w:p w:rsidR="005664A5" w:rsidRDefault="005664A5" w:rsidP="009F32B2">
            <w:pPr>
              <w:pStyle w:val="Kehatekst"/>
              <w:tabs>
                <w:tab w:val="left" w:pos="6521"/>
              </w:tabs>
              <w:jc w:val="left"/>
              <w:rPr>
                <w:sz w:val="24"/>
                <w:szCs w:val="24"/>
              </w:rPr>
            </w:pPr>
            <w:r>
              <w:rPr>
                <w:iCs/>
                <w:sz w:val="24"/>
                <w:szCs w:val="24"/>
              </w:rPr>
              <w:t>Viimsi Vallavolikogu 21.06.2016 otsuse nr 75: „</w:t>
            </w:r>
            <w:r w:rsidRPr="00A54012">
              <w:rPr>
                <w:i/>
                <w:iCs/>
                <w:sz w:val="24"/>
                <w:szCs w:val="24"/>
              </w:rPr>
              <w:t>Randvere külas, kinnistu Tammelaane ning osaliselt reformimata riigimaa detailplaneeringu algatamine, lähteseisukohtade kinnitamine ja keskkonnamõju strateegilise hinda</w:t>
            </w:r>
            <w:r w:rsidRPr="00A54012">
              <w:rPr>
                <w:i/>
                <w:iCs/>
                <w:color w:val="000000"/>
                <w:sz w:val="24"/>
                <w:szCs w:val="24"/>
              </w:rPr>
              <w:t>mise algatamine</w:t>
            </w:r>
            <w:r>
              <w:rPr>
                <w:iCs/>
                <w:color w:val="000000"/>
                <w:sz w:val="24"/>
                <w:szCs w:val="24"/>
              </w:rPr>
              <w:t>“ muutmine</w:t>
            </w:r>
          </w:p>
        </w:tc>
        <w:tc>
          <w:tcPr>
            <w:tcW w:w="4252" w:type="dxa"/>
            <w:gridSpan w:val="2"/>
            <w:shd w:val="clear" w:color="auto" w:fill="auto"/>
          </w:tcPr>
          <w:p w:rsidR="005664A5" w:rsidRDefault="005664A5">
            <w:pPr>
              <w:pStyle w:val="Kehatekst"/>
              <w:tabs>
                <w:tab w:val="left" w:pos="6521"/>
              </w:tabs>
              <w:snapToGrid w:val="0"/>
              <w:rPr>
                <w:sz w:val="24"/>
                <w:szCs w:val="24"/>
              </w:rPr>
            </w:pP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ind w:left="-108"/>
              <w:rPr>
                <w:sz w:val="24"/>
                <w:szCs w:val="24"/>
              </w:rPr>
            </w:pPr>
          </w:p>
        </w:tc>
      </w:tr>
      <w:tr w:rsidR="005664A5" w:rsidTr="005664A5">
        <w:tblPrEx>
          <w:tblCellMar>
            <w:left w:w="0" w:type="dxa"/>
            <w:right w:w="0" w:type="dxa"/>
          </w:tblCellMar>
        </w:tblPrEx>
        <w:trPr>
          <w:cantSplit/>
        </w:trPr>
        <w:tc>
          <w:tcPr>
            <w:tcW w:w="9072" w:type="dxa"/>
            <w:gridSpan w:val="3"/>
            <w:shd w:val="clear" w:color="auto" w:fill="auto"/>
          </w:tcPr>
          <w:p w:rsidR="005664A5" w:rsidRDefault="005664A5">
            <w:pPr>
              <w:pStyle w:val="Kehatekst"/>
              <w:tabs>
                <w:tab w:val="left" w:pos="6521"/>
              </w:tabs>
              <w:snapToGrid w:val="0"/>
              <w:ind w:left="-108"/>
              <w:rPr>
                <w:color w:val="FF0000"/>
                <w:sz w:val="24"/>
                <w:szCs w:val="24"/>
              </w:rPr>
            </w:pPr>
          </w:p>
        </w:tc>
      </w:tr>
    </w:tbl>
    <w:p w:rsidR="00B40865" w:rsidRDefault="00A54012">
      <w:pPr>
        <w:pStyle w:val="Loetelu"/>
        <w:numPr>
          <w:ilvl w:val="0"/>
          <w:numId w:val="0"/>
        </w:numPr>
        <w:spacing w:before="0" w:after="120"/>
        <w:rPr>
          <w:iCs/>
          <w:szCs w:val="24"/>
        </w:rPr>
      </w:pPr>
      <w:r>
        <w:rPr>
          <w:iCs/>
          <w:szCs w:val="24"/>
        </w:rPr>
        <w:t>Viimsi Vallavolikogu 21.06.2016 otsusega nr 75</w:t>
      </w:r>
      <w:r w:rsidR="0078056F">
        <w:rPr>
          <w:iCs/>
          <w:szCs w:val="24"/>
        </w:rPr>
        <w:t xml:space="preserve"> (edaspidi Otsus)</w:t>
      </w:r>
      <w:r>
        <w:rPr>
          <w:iCs/>
          <w:szCs w:val="24"/>
        </w:rPr>
        <w:t xml:space="preserve"> algatati d</w:t>
      </w:r>
      <w:r w:rsidR="00892780">
        <w:rPr>
          <w:iCs/>
          <w:szCs w:val="24"/>
        </w:rPr>
        <w:t>etailplaneeringu koostami</w:t>
      </w:r>
      <w:r>
        <w:rPr>
          <w:iCs/>
          <w:szCs w:val="24"/>
        </w:rPr>
        <w:t>n</w:t>
      </w:r>
      <w:r w:rsidR="00892780">
        <w:rPr>
          <w:iCs/>
          <w:szCs w:val="24"/>
        </w:rPr>
        <w:t xml:space="preserve">e </w:t>
      </w:r>
      <w:r w:rsidRPr="00A54012">
        <w:rPr>
          <w:iCs/>
          <w:szCs w:val="24"/>
        </w:rPr>
        <w:t>Randvere külas kinnistu</w:t>
      </w:r>
      <w:r>
        <w:rPr>
          <w:iCs/>
          <w:szCs w:val="24"/>
        </w:rPr>
        <w:t>l</w:t>
      </w:r>
      <w:r w:rsidRPr="00A54012">
        <w:rPr>
          <w:iCs/>
          <w:szCs w:val="24"/>
        </w:rPr>
        <w:t xml:space="preserve"> Tammelaane ning osaliselt reformimata riigimaa</w:t>
      </w:r>
      <w:r>
        <w:rPr>
          <w:iCs/>
          <w:szCs w:val="24"/>
        </w:rPr>
        <w:t xml:space="preserve">l, </w:t>
      </w:r>
      <w:r w:rsidR="00B40865">
        <w:rPr>
          <w:iCs/>
          <w:szCs w:val="24"/>
        </w:rPr>
        <w:t xml:space="preserve">mille üheks </w:t>
      </w:r>
      <w:r>
        <w:rPr>
          <w:iCs/>
          <w:szCs w:val="24"/>
        </w:rPr>
        <w:t>eesmärgi</w:t>
      </w:r>
      <w:r w:rsidR="00B40865">
        <w:rPr>
          <w:iCs/>
          <w:szCs w:val="24"/>
        </w:rPr>
        <w:t xml:space="preserve">ks on </w:t>
      </w:r>
      <w:r>
        <w:rPr>
          <w:iCs/>
          <w:szCs w:val="24"/>
        </w:rPr>
        <w:t>üldplaneeringu koha</w:t>
      </w:r>
      <w:r w:rsidR="00B40865">
        <w:rPr>
          <w:iCs/>
          <w:szCs w:val="24"/>
        </w:rPr>
        <w:t>s</w:t>
      </w:r>
      <w:r>
        <w:rPr>
          <w:iCs/>
          <w:szCs w:val="24"/>
        </w:rPr>
        <w:t>e maakasutuse juhtotstar</w:t>
      </w:r>
      <w:r w:rsidR="00B40865">
        <w:rPr>
          <w:iCs/>
          <w:szCs w:val="24"/>
        </w:rPr>
        <w:t>b</w:t>
      </w:r>
      <w:r>
        <w:rPr>
          <w:iCs/>
          <w:szCs w:val="24"/>
        </w:rPr>
        <w:t>e</w:t>
      </w:r>
      <w:r w:rsidR="00B40865">
        <w:rPr>
          <w:iCs/>
          <w:szCs w:val="24"/>
        </w:rPr>
        <w:t xml:space="preserve"> muutmine</w:t>
      </w:r>
      <w:r>
        <w:rPr>
          <w:iCs/>
          <w:szCs w:val="24"/>
        </w:rPr>
        <w:t xml:space="preserve"> osaliselt puhkeotstarbelisest maast väikeelamute maaks, </w:t>
      </w:r>
      <w:r w:rsidR="008D4EF7">
        <w:rPr>
          <w:iCs/>
          <w:szCs w:val="24"/>
        </w:rPr>
        <w:t xml:space="preserve">osa </w:t>
      </w:r>
      <w:r>
        <w:rPr>
          <w:iCs/>
          <w:szCs w:val="24"/>
        </w:rPr>
        <w:t xml:space="preserve">maa-ala </w:t>
      </w:r>
      <w:r w:rsidR="00B40865">
        <w:rPr>
          <w:iCs/>
          <w:szCs w:val="24"/>
        </w:rPr>
        <w:t xml:space="preserve">jagamine </w:t>
      </w:r>
      <w:r>
        <w:rPr>
          <w:iCs/>
          <w:szCs w:val="24"/>
        </w:rPr>
        <w:t>elamukruntideks ja krundi ehitusõigus</w:t>
      </w:r>
      <w:r w:rsidR="00B40865">
        <w:rPr>
          <w:iCs/>
          <w:szCs w:val="24"/>
        </w:rPr>
        <w:t>e määramine</w:t>
      </w:r>
      <w:r>
        <w:rPr>
          <w:iCs/>
          <w:szCs w:val="24"/>
        </w:rPr>
        <w:t xml:space="preserve"> üksikelamu</w:t>
      </w:r>
      <w:r w:rsidR="008D4EF7">
        <w:rPr>
          <w:iCs/>
          <w:szCs w:val="24"/>
        </w:rPr>
        <w:t xml:space="preserve"> ja abihoonete</w:t>
      </w:r>
      <w:r>
        <w:rPr>
          <w:iCs/>
          <w:szCs w:val="24"/>
        </w:rPr>
        <w:t xml:space="preserve"> ehitamiseks. Esialgsete kavatsuste kohaselt sooviti elamukrun</w:t>
      </w:r>
      <w:r w:rsidR="005D112B">
        <w:rPr>
          <w:iCs/>
          <w:szCs w:val="24"/>
        </w:rPr>
        <w:t>did</w:t>
      </w:r>
      <w:r>
        <w:rPr>
          <w:iCs/>
          <w:szCs w:val="24"/>
        </w:rPr>
        <w:t xml:space="preserve"> </w:t>
      </w:r>
      <w:r w:rsidR="00B40865">
        <w:rPr>
          <w:iCs/>
          <w:szCs w:val="24"/>
        </w:rPr>
        <w:t xml:space="preserve">moodustada </w:t>
      </w:r>
      <w:r>
        <w:rPr>
          <w:iCs/>
          <w:szCs w:val="24"/>
        </w:rPr>
        <w:t>ranna-äärsele alale</w:t>
      </w:r>
      <w:r w:rsidR="005D112B">
        <w:rPr>
          <w:iCs/>
          <w:szCs w:val="24"/>
        </w:rPr>
        <w:t xml:space="preserve">, et </w:t>
      </w:r>
      <w:r w:rsidR="0064096A">
        <w:rPr>
          <w:iCs/>
          <w:szCs w:val="24"/>
        </w:rPr>
        <w:t xml:space="preserve">jätta </w:t>
      </w:r>
      <w:r w:rsidR="005D112B">
        <w:rPr>
          <w:iCs/>
          <w:szCs w:val="24"/>
        </w:rPr>
        <w:t>krundid välja</w:t>
      </w:r>
      <w:r w:rsidR="006959FF" w:rsidRPr="006959FF">
        <w:rPr>
          <w:iCs/>
          <w:szCs w:val="24"/>
        </w:rPr>
        <w:t xml:space="preserve"> </w:t>
      </w:r>
      <w:r w:rsidR="006959FF">
        <w:rPr>
          <w:iCs/>
          <w:szCs w:val="24"/>
        </w:rPr>
        <w:t>haljastu nr 34 ja</w:t>
      </w:r>
      <w:r w:rsidR="00B40865">
        <w:rPr>
          <w:iCs/>
          <w:szCs w:val="24"/>
        </w:rPr>
        <w:t xml:space="preserve"> rohevõrgustiku koridori koosseisust</w:t>
      </w:r>
      <w:r w:rsidR="005B364B">
        <w:rPr>
          <w:iCs/>
          <w:szCs w:val="24"/>
        </w:rPr>
        <w:t xml:space="preserve"> ja mitte muuta üldplaneeringu teemaplaneeringut </w:t>
      </w:r>
      <w:r w:rsidR="00587BFC" w:rsidRPr="00587BFC">
        <w:rPr>
          <w:i/>
          <w:iCs/>
          <w:szCs w:val="24"/>
        </w:rPr>
        <w:t>M</w:t>
      </w:r>
      <w:r w:rsidR="005B364B" w:rsidRPr="00587BFC">
        <w:rPr>
          <w:i/>
          <w:iCs/>
          <w:szCs w:val="24"/>
        </w:rPr>
        <w:t xml:space="preserve">iljööväärtuslikud </w:t>
      </w:r>
      <w:r w:rsidR="005B364B" w:rsidRPr="00306C86">
        <w:rPr>
          <w:i/>
          <w:iCs/>
          <w:szCs w:val="24"/>
        </w:rPr>
        <w:t>alad ja</w:t>
      </w:r>
      <w:r w:rsidR="005B364B">
        <w:rPr>
          <w:iCs/>
          <w:szCs w:val="24"/>
        </w:rPr>
        <w:t xml:space="preserve"> r</w:t>
      </w:r>
      <w:r w:rsidR="005B364B">
        <w:rPr>
          <w:i/>
          <w:iCs/>
          <w:szCs w:val="24"/>
        </w:rPr>
        <w:t>ohevõrgustik</w:t>
      </w:r>
      <w:r w:rsidR="006959FF">
        <w:rPr>
          <w:iCs/>
          <w:szCs w:val="24"/>
        </w:rPr>
        <w:t>, s</w:t>
      </w:r>
      <w:r w:rsidR="005D112B">
        <w:rPr>
          <w:iCs/>
          <w:szCs w:val="24"/>
        </w:rPr>
        <w:t>amas jäi</w:t>
      </w:r>
      <w:r w:rsidR="006959FF">
        <w:rPr>
          <w:iCs/>
          <w:szCs w:val="24"/>
        </w:rPr>
        <w:t>d kavandatavad krundid</w:t>
      </w:r>
      <w:r w:rsidR="005D112B">
        <w:rPr>
          <w:iCs/>
          <w:szCs w:val="24"/>
        </w:rPr>
        <w:t xml:space="preserve"> </w:t>
      </w:r>
      <w:r w:rsidR="006959FF">
        <w:rPr>
          <w:iCs/>
          <w:szCs w:val="24"/>
        </w:rPr>
        <w:t xml:space="preserve">selle lahenduse kohaselt </w:t>
      </w:r>
      <w:r w:rsidR="00B40865">
        <w:rPr>
          <w:iCs/>
          <w:szCs w:val="24"/>
        </w:rPr>
        <w:t>ranna piiranguvöönd</w:t>
      </w:r>
      <w:r w:rsidR="00EF1A6D">
        <w:rPr>
          <w:iCs/>
          <w:szCs w:val="24"/>
        </w:rPr>
        <w:t>isse</w:t>
      </w:r>
      <w:r w:rsidR="00B40865">
        <w:rPr>
          <w:iCs/>
          <w:szCs w:val="24"/>
        </w:rPr>
        <w:t xml:space="preserve"> ja ehituskeeluvöönd</w:t>
      </w:r>
      <w:r w:rsidR="00EF1A6D">
        <w:rPr>
          <w:iCs/>
          <w:szCs w:val="24"/>
        </w:rPr>
        <w:t>isse</w:t>
      </w:r>
      <w:r w:rsidR="005B364B">
        <w:rPr>
          <w:iCs/>
          <w:szCs w:val="24"/>
        </w:rPr>
        <w:t>.</w:t>
      </w:r>
      <w:r w:rsidR="008D4EF7">
        <w:rPr>
          <w:iCs/>
          <w:szCs w:val="24"/>
        </w:rPr>
        <w:t xml:space="preserve"> </w:t>
      </w:r>
      <w:r w:rsidR="005B364B">
        <w:rPr>
          <w:iCs/>
          <w:szCs w:val="24"/>
        </w:rPr>
        <w:t xml:space="preserve">Seda asjaolu </w:t>
      </w:r>
      <w:r w:rsidR="008D4EF7">
        <w:rPr>
          <w:iCs/>
          <w:szCs w:val="24"/>
        </w:rPr>
        <w:t>arvestades koostati ka detailplaneeringu keskkonnamõju strateegilise hindamise (edaspidi KSH) eelhinnang</w:t>
      </w:r>
      <w:r w:rsidR="005B364B">
        <w:rPr>
          <w:iCs/>
          <w:szCs w:val="24"/>
        </w:rPr>
        <w:t xml:space="preserve">, mille </w:t>
      </w:r>
      <w:r w:rsidR="00587BFC">
        <w:rPr>
          <w:iCs/>
          <w:szCs w:val="24"/>
        </w:rPr>
        <w:t>põhjal</w:t>
      </w:r>
      <w:r w:rsidR="005B364B">
        <w:rPr>
          <w:iCs/>
          <w:szCs w:val="24"/>
        </w:rPr>
        <w:t xml:space="preserve"> kujundas Keskkonnaamet</w:t>
      </w:r>
      <w:r w:rsidR="00306C86">
        <w:rPr>
          <w:iCs/>
          <w:szCs w:val="24"/>
        </w:rPr>
        <w:t xml:space="preserve"> oma</w:t>
      </w:r>
      <w:r w:rsidR="005B364B">
        <w:rPr>
          <w:iCs/>
          <w:szCs w:val="24"/>
        </w:rPr>
        <w:t xml:space="preserve"> seisukoha KSH algatamise nõudes, ning</w:t>
      </w:r>
      <w:r w:rsidR="008D4EF7">
        <w:rPr>
          <w:iCs/>
          <w:szCs w:val="24"/>
        </w:rPr>
        <w:t xml:space="preserve"> mis oli </w:t>
      </w:r>
      <w:r w:rsidR="006959FF">
        <w:rPr>
          <w:iCs/>
          <w:szCs w:val="24"/>
        </w:rPr>
        <w:t xml:space="preserve">ka </w:t>
      </w:r>
      <w:r w:rsidR="008D4EF7">
        <w:rPr>
          <w:iCs/>
          <w:szCs w:val="24"/>
        </w:rPr>
        <w:t>KSH algatamise üheks põhi</w:t>
      </w:r>
      <w:r w:rsidR="00306C86">
        <w:rPr>
          <w:iCs/>
          <w:szCs w:val="24"/>
        </w:rPr>
        <w:t>motiiviks.</w:t>
      </w:r>
    </w:p>
    <w:p w:rsidR="00587BFC" w:rsidRDefault="00B40865">
      <w:pPr>
        <w:pStyle w:val="Loetelu"/>
        <w:numPr>
          <w:ilvl w:val="0"/>
          <w:numId w:val="0"/>
        </w:numPr>
        <w:spacing w:before="0" w:after="120"/>
        <w:rPr>
          <w:iCs/>
          <w:szCs w:val="24"/>
        </w:rPr>
      </w:pPr>
      <w:r>
        <w:rPr>
          <w:iCs/>
          <w:szCs w:val="24"/>
        </w:rPr>
        <w:t>Detailplaneeringu</w:t>
      </w:r>
      <w:r w:rsidR="005B364B">
        <w:rPr>
          <w:iCs/>
          <w:szCs w:val="24"/>
        </w:rPr>
        <w:t xml:space="preserve"> koostamise</w:t>
      </w:r>
      <w:r w:rsidR="0064096A">
        <w:rPr>
          <w:iCs/>
          <w:szCs w:val="24"/>
        </w:rPr>
        <w:t>le</w:t>
      </w:r>
      <w:r w:rsidR="005B364B">
        <w:rPr>
          <w:iCs/>
          <w:szCs w:val="24"/>
        </w:rPr>
        <w:t xml:space="preserve"> asumisel kaaluti</w:t>
      </w:r>
      <w:r w:rsidR="0064096A">
        <w:rPr>
          <w:iCs/>
          <w:szCs w:val="24"/>
        </w:rPr>
        <w:t xml:space="preserve"> parima võimaliku</w:t>
      </w:r>
      <w:r>
        <w:rPr>
          <w:iCs/>
          <w:szCs w:val="24"/>
        </w:rPr>
        <w:t xml:space="preserve"> lahenduse </w:t>
      </w:r>
      <w:r w:rsidR="0064096A">
        <w:rPr>
          <w:iCs/>
          <w:szCs w:val="24"/>
        </w:rPr>
        <w:t>leidmiseks</w:t>
      </w:r>
      <w:r>
        <w:rPr>
          <w:iCs/>
          <w:szCs w:val="24"/>
        </w:rPr>
        <w:t xml:space="preserve"> </w:t>
      </w:r>
      <w:r w:rsidR="00EF1A6D">
        <w:rPr>
          <w:iCs/>
          <w:szCs w:val="24"/>
        </w:rPr>
        <w:t xml:space="preserve">erinevaid </w:t>
      </w:r>
      <w:r>
        <w:rPr>
          <w:iCs/>
          <w:szCs w:val="24"/>
        </w:rPr>
        <w:t xml:space="preserve">variante </w:t>
      </w:r>
      <w:r w:rsidR="0064096A">
        <w:rPr>
          <w:iCs/>
          <w:szCs w:val="24"/>
        </w:rPr>
        <w:t>ja</w:t>
      </w:r>
      <w:r w:rsidR="00EF1A6D">
        <w:rPr>
          <w:iCs/>
          <w:szCs w:val="24"/>
        </w:rPr>
        <w:t xml:space="preserve"> analüüsiti nende mõju keskkonnale</w:t>
      </w:r>
      <w:r w:rsidR="0051132D">
        <w:rPr>
          <w:iCs/>
          <w:szCs w:val="24"/>
        </w:rPr>
        <w:t>.</w:t>
      </w:r>
      <w:r w:rsidR="0064096A">
        <w:rPr>
          <w:iCs/>
          <w:szCs w:val="24"/>
        </w:rPr>
        <w:t xml:space="preserve"> </w:t>
      </w:r>
      <w:r w:rsidR="0051132D">
        <w:rPr>
          <w:iCs/>
          <w:szCs w:val="24"/>
        </w:rPr>
        <w:t>D</w:t>
      </w:r>
      <w:r w:rsidR="005D112B">
        <w:rPr>
          <w:iCs/>
          <w:szCs w:val="24"/>
        </w:rPr>
        <w:t xml:space="preserve">etailplaneeringu </w:t>
      </w:r>
      <w:r w:rsidR="0064096A">
        <w:rPr>
          <w:iCs/>
          <w:szCs w:val="24"/>
        </w:rPr>
        <w:t>teostaja</w:t>
      </w:r>
      <w:r w:rsidR="005D112B">
        <w:rPr>
          <w:iCs/>
          <w:szCs w:val="24"/>
        </w:rPr>
        <w:t xml:space="preserve"> </w:t>
      </w:r>
      <w:proofErr w:type="spellStart"/>
      <w:r w:rsidR="005D112B">
        <w:rPr>
          <w:iCs/>
          <w:szCs w:val="24"/>
        </w:rPr>
        <w:t>Skepast&amp;Puhkim</w:t>
      </w:r>
      <w:proofErr w:type="spellEnd"/>
      <w:r w:rsidR="005D112B">
        <w:rPr>
          <w:iCs/>
          <w:szCs w:val="24"/>
        </w:rPr>
        <w:t xml:space="preserve"> OÜ koostas töö nr 2017-0018_01 </w:t>
      </w:r>
      <w:r w:rsidR="00D1783B">
        <w:rPr>
          <w:i/>
          <w:iCs/>
          <w:szCs w:val="24"/>
        </w:rPr>
        <w:t>„</w:t>
      </w:r>
      <w:r w:rsidR="00D20134">
        <w:rPr>
          <w:i/>
          <w:iCs/>
          <w:szCs w:val="24"/>
        </w:rPr>
        <w:t>Planeeringulahenduse alternatiivide võrdlus – mõju metsale, rohekoridorile ja haljastule“</w:t>
      </w:r>
      <w:r w:rsidR="005B364B">
        <w:rPr>
          <w:iCs/>
          <w:szCs w:val="24"/>
        </w:rPr>
        <w:t xml:space="preserve"> (</w:t>
      </w:r>
      <w:r w:rsidR="00262E57">
        <w:rPr>
          <w:iCs/>
          <w:szCs w:val="24"/>
        </w:rPr>
        <w:t xml:space="preserve">käesoleva otsuse </w:t>
      </w:r>
      <w:r w:rsidR="005B364B">
        <w:rPr>
          <w:iCs/>
          <w:szCs w:val="24"/>
        </w:rPr>
        <w:t>lisa nr 1)</w:t>
      </w:r>
      <w:r w:rsidR="005D112B">
        <w:rPr>
          <w:iCs/>
          <w:szCs w:val="24"/>
        </w:rPr>
        <w:t>,</w:t>
      </w:r>
      <w:r w:rsidR="0051132D">
        <w:rPr>
          <w:iCs/>
          <w:szCs w:val="24"/>
        </w:rPr>
        <w:t xml:space="preserve"> kus</w:t>
      </w:r>
      <w:r w:rsidR="00306C86">
        <w:rPr>
          <w:iCs/>
          <w:szCs w:val="24"/>
        </w:rPr>
        <w:t xml:space="preserve"> jõuti järeldusele,</w:t>
      </w:r>
      <w:r w:rsidR="0051132D">
        <w:rPr>
          <w:iCs/>
          <w:szCs w:val="24"/>
        </w:rPr>
        <w:t xml:space="preserve"> et eelistatud on planeeringulahenduse alternatiiv, mille kohaselt elamukrundid paiknevad planeeritava maa-ala keskosas</w:t>
      </w:r>
      <w:r w:rsidR="00587BFC">
        <w:rPr>
          <w:iCs/>
          <w:szCs w:val="24"/>
        </w:rPr>
        <w:t xml:space="preserve"> ja</w:t>
      </w:r>
      <w:r w:rsidR="0051132D">
        <w:rPr>
          <w:iCs/>
          <w:szCs w:val="24"/>
        </w:rPr>
        <w:t xml:space="preserve"> kus on vähem </w:t>
      </w:r>
      <w:r w:rsidR="00587BFC">
        <w:rPr>
          <w:iCs/>
          <w:szCs w:val="24"/>
        </w:rPr>
        <w:t>elamu</w:t>
      </w:r>
      <w:r w:rsidR="0051132D">
        <w:rPr>
          <w:iCs/>
          <w:szCs w:val="24"/>
        </w:rPr>
        <w:t>krunte</w:t>
      </w:r>
      <w:r w:rsidR="00306C86">
        <w:rPr>
          <w:iCs/>
          <w:szCs w:val="24"/>
        </w:rPr>
        <w:t xml:space="preserve"> (edaspidi Alternatiiv 2)</w:t>
      </w:r>
      <w:r w:rsidR="0051132D">
        <w:rPr>
          <w:iCs/>
          <w:szCs w:val="24"/>
        </w:rPr>
        <w:t>.</w:t>
      </w:r>
      <w:r w:rsidR="00306C86">
        <w:rPr>
          <w:iCs/>
          <w:szCs w:val="24"/>
        </w:rPr>
        <w:t xml:space="preserve"> Alternatiivi 2</w:t>
      </w:r>
      <w:r w:rsidR="0051132D">
        <w:rPr>
          <w:iCs/>
          <w:szCs w:val="24"/>
        </w:rPr>
        <w:t xml:space="preserve"> korral </w:t>
      </w:r>
      <w:r w:rsidR="00587BFC">
        <w:rPr>
          <w:iCs/>
          <w:szCs w:val="24"/>
        </w:rPr>
        <w:t>häviks</w:t>
      </w:r>
      <w:r w:rsidR="0051132D">
        <w:rPr>
          <w:iCs/>
          <w:szCs w:val="24"/>
        </w:rPr>
        <w:t xml:space="preserve"> </w:t>
      </w:r>
      <w:r w:rsidR="00005C9A">
        <w:rPr>
          <w:iCs/>
          <w:szCs w:val="24"/>
        </w:rPr>
        <w:t xml:space="preserve">pindalaliselt </w:t>
      </w:r>
      <w:r w:rsidR="0051132D">
        <w:rPr>
          <w:iCs/>
          <w:szCs w:val="24"/>
        </w:rPr>
        <w:t>väiksem metsaala ning säili</w:t>
      </w:r>
      <w:r w:rsidR="00587BFC">
        <w:rPr>
          <w:iCs/>
          <w:szCs w:val="24"/>
        </w:rPr>
        <w:t>ks</w:t>
      </w:r>
      <w:r w:rsidR="0051132D">
        <w:rPr>
          <w:iCs/>
          <w:szCs w:val="24"/>
        </w:rPr>
        <w:t xml:space="preserve"> kompaktne looduslik rannikulähedane mets, ka </w:t>
      </w:r>
      <w:r w:rsidR="00005C9A">
        <w:rPr>
          <w:iCs/>
          <w:szCs w:val="24"/>
        </w:rPr>
        <w:t>seisneb</w:t>
      </w:r>
      <w:r w:rsidR="0051132D">
        <w:rPr>
          <w:iCs/>
          <w:szCs w:val="24"/>
        </w:rPr>
        <w:t xml:space="preserve"> positiivne mõju selles, et elamukruntide rajamisel kinnistu keskosasse </w:t>
      </w:r>
      <w:r w:rsidR="00306C86">
        <w:rPr>
          <w:iCs/>
          <w:szCs w:val="24"/>
        </w:rPr>
        <w:t>jääks</w:t>
      </w:r>
      <w:r w:rsidR="002D0403">
        <w:rPr>
          <w:iCs/>
          <w:szCs w:val="24"/>
        </w:rPr>
        <w:t xml:space="preserve"> avalikkusele kasutada </w:t>
      </w:r>
      <w:r w:rsidR="00005C9A">
        <w:rPr>
          <w:iCs/>
          <w:szCs w:val="24"/>
        </w:rPr>
        <w:t xml:space="preserve">rohkem </w:t>
      </w:r>
      <w:r w:rsidR="002D0403">
        <w:rPr>
          <w:iCs/>
          <w:szCs w:val="24"/>
        </w:rPr>
        <w:t>vahetut ranna-ala</w:t>
      </w:r>
      <w:r w:rsidR="0051132D">
        <w:rPr>
          <w:iCs/>
          <w:szCs w:val="24"/>
        </w:rPr>
        <w:t>.</w:t>
      </w:r>
    </w:p>
    <w:p w:rsidR="006F5041" w:rsidRDefault="00306C86">
      <w:pPr>
        <w:pStyle w:val="Loetelu"/>
        <w:numPr>
          <w:ilvl w:val="0"/>
          <w:numId w:val="0"/>
        </w:numPr>
        <w:spacing w:before="0" w:after="120"/>
        <w:rPr>
          <w:iCs/>
          <w:szCs w:val="24"/>
        </w:rPr>
      </w:pPr>
      <w:r>
        <w:rPr>
          <w:iCs/>
          <w:szCs w:val="24"/>
        </w:rPr>
        <w:t xml:space="preserve">Alternatiivi 2 koostamiseks </w:t>
      </w:r>
      <w:r w:rsidR="00587BFC">
        <w:rPr>
          <w:iCs/>
          <w:szCs w:val="24"/>
        </w:rPr>
        <w:t xml:space="preserve">hindas </w:t>
      </w:r>
      <w:proofErr w:type="spellStart"/>
      <w:r w:rsidR="00587BFC">
        <w:rPr>
          <w:iCs/>
          <w:szCs w:val="24"/>
        </w:rPr>
        <w:t>Skepast&amp;Puhkim</w:t>
      </w:r>
      <w:proofErr w:type="spellEnd"/>
      <w:r w:rsidR="00587BFC">
        <w:rPr>
          <w:iCs/>
          <w:szCs w:val="24"/>
        </w:rPr>
        <w:t xml:space="preserve"> OÜ uuesti planeeritava tegevusega kaasnevat keskkonnamõju ja koostas töö nr 2017-0018_02 </w:t>
      </w:r>
      <w:r w:rsidR="00587BFC">
        <w:rPr>
          <w:i/>
          <w:iCs/>
          <w:szCs w:val="24"/>
        </w:rPr>
        <w:t>„Keskkonnamõju strateegilise hindamise läbiviimise vajalikkuse hinnang“</w:t>
      </w:r>
      <w:r w:rsidR="00587BFC">
        <w:rPr>
          <w:iCs/>
          <w:szCs w:val="24"/>
        </w:rPr>
        <w:t xml:space="preserve"> (</w:t>
      </w:r>
      <w:r w:rsidR="00262E57">
        <w:rPr>
          <w:iCs/>
          <w:szCs w:val="24"/>
        </w:rPr>
        <w:t xml:space="preserve">käesoleva otsuse </w:t>
      </w:r>
      <w:r w:rsidR="00587BFC">
        <w:rPr>
          <w:iCs/>
          <w:szCs w:val="24"/>
        </w:rPr>
        <w:t xml:space="preserve">lisa nr 2), </w:t>
      </w:r>
      <w:r w:rsidR="005D112B">
        <w:rPr>
          <w:iCs/>
          <w:szCs w:val="24"/>
        </w:rPr>
        <w:t>milles</w:t>
      </w:r>
      <w:r w:rsidR="00EF1A6D">
        <w:rPr>
          <w:iCs/>
          <w:szCs w:val="24"/>
        </w:rPr>
        <w:t xml:space="preserve"> </w:t>
      </w:r>
      <w:r w:rsidR="00587BFC">
        <w:rPr>
          <w:iCs/>
          <w:szCs w:val="24"/>
        </w:rPr>
        <w:t xml:space="preserve">asuti seisukohale, et kavandatava tegevuse elluviimisega, mille kohaselt planeeritakse elamukrundid väljapoole ehituskeeluvööndit, ei kaasne olulise ebasoodsa keskkonnamõjuga maa- ja veekasutust, </w:t>
      </w:r>
      <w:r w:rsidR="009F55FE">
        <w:rPr>
          <w:iCs/>
          <w:szCs w:val="24"/>
        </w:rPr>
        <w:t xml:space="preserve">ülenormatiivset välisõhu saastet, müra </w:t>
      </w:r>
      <w:r w:rsidR="0057572C">
        <w:rPr>
          <w:iCs/>
          <w:szCs w:val="24"/>
        </w:rPr>
        <w:t>ega</w:t>
      </w:r>
      <w:r w:rsidR="009F55FE">
        <w:rPr>
          <w:iCs/>
          <w:szCs w:val="24"/>
        </w:rPr>
        <w:t xml:space="preserve"> vibratsiooni. Samuti ei kaasne töös toodud soovituste järgimisel olulis</w:t>
      </w:r>
      <w:r w:rsidR="00B338BB">
        <w:rPr>
          <w:iCs/>
          <w:szCs w:val="24"/>
        </w:rPr>
        <w:t>el</w:t>
      </w:r>
      <w:r w:rsidR="009F55FE">
        <w:rPr>
          <w:iCs/>
          <w:szCs w:val="24"/>
        </w:rPr>
        <w:t>t ebasoodsat keskkonnamõju pinnasele, pinna- ja põhjaveele, loomastikule, rohevõrgustikule, s.h sotsiaalsete mõjude osas, ega ka taimkattele, kaitstavatele loodusobjektidele ja Natura</w:t>
      </w:r>
      <w:r w:rsidR="009F55FE" w:rsidRPr="009F55FE">
        <w:rPr>
          <w:iCs/>
          <w:szCs w:val="24"/>
        </w:rPr>
        <w:t xml:space="preserve"> </w:t>
      </w:r>
      <w:r w:rsidR="009F55FE">
        <w:rPr>
          <w:iCs/>
          <w:szCs w:val="24"/>
        </w:rPr>
        <w:t xml:space="preserve">2000 võrgustiku aladele, kliimale ja kultuuripärandile. </w:t>
      </w:r>
      <w:r w:rsidR="00760771">
        <w:rPr>
          <w:iCs/>
          <w:szCs w:val="24"/>
        </w:rPr>
        <w:lastRenderedPageBreak/>
        <w:t xml:space="preserve">Eelhinnang esitati </w:t>
      </w:r>
      <w:r w:rsidR="00824559">
        <w:rPr>
          <w:iCs/>
          <w:szCs w:val="24"/>
        </w:rPr>
        <w:t>Keskkonnaametile, kes 6.04.2017 kirjaga nr 6-5/17/3581-2 asus seisukohale, et arvestades muudetud planeeringulahendust ning</w:t>
      </w:r>
      <w:r w:rsidR="008D410F">
        <w:rPr>
          <w:iCs/>
          <w:szCs w:val="24"/>
        </w:rPr>
        <w:t xml:space="preserve"> asjaolu, et elamud (18 asemel 9</w:t>
      </w:r>
      <w:r w:rsidR="00824559">
        <w:rPr>
          <w:iCs/>
          <w:szCs w:val="24"/>
        </w:rPr>
        <w:t>) planeeritakse selliselt, et need ei jää ranna ehituskeeluvööndisse, ei ole eeldada olulise mõju avaldumist, mis nõuaks KSH menetluse läbiviimist antud detailplaneeringu menetlemise käigus.</w:t>
      </w:r>
      <w:r w:rsidR="00B338BB">
        <w:rPr>
          <w:iCs/>
          <w:szCs w:val="24"/>
        </w:rPr>
        <w:t xml:space="preserve"> Samas tegi Keskkonnaamet ettepaneku rannakindlustuse planeerimisel kaasata protsessi antud valdkonda tundev ekspert, kes annaks hinnangu rannakindlustuse rajamise võimalikkuse ja vajalikkuse kohta.</w:t>
      </w:r>
    </w:p>
    <w:p w:rsidR="00262E57" w:rsidRDefault="0057572C" w:rsidP="00262E57">
      <w:pPr>
        <w:pStyle w:val="Loetelu"/>
        <w:numPr>
          <w:ilvl w:val="0"/>
          <w:numId w:val="0"/>
        </w:numPr>
        <w:spacing w:before="0" w:after="120"/>
        <w:rPr>
          <w:iCs/>
          <w:szCs w:val="24"/>
        </w:rPr>
      </w:pPr>
      <w:r>
        <w:rPr>
          <w:iCs/>
          <w:szCs w:val="24"/>
        </w:rPr>
        <w:t>KSH algatatakse eelhinnangu alusel, kui võib eeldada, et kavandatava tegevusega kaasneb oluline ebasoodne keskkonnamõju. Seoses asjaoluga, et detailplaneeringuga elamuid ranna ehituskeeluvööndisse ei kavandata, on ära langenud varasemalt koostatud KSH eelhinnangu alused KSH menetluse läbiviimiseks</w:t>
      </w:r>
      <w:r w:rsidR="00B338BB">
        <w:rPr>
          <w:iCs/>
          <w:szCs w:val="24"/>
        </w:rPr>
        <w:t>,</w:t>
      </w:r>
      <w:r>
        <w:rPr>
          <w:iCs/>
          <w:szCs w:val="24"/>
        </w:rPr>
        <w:t xml:space="preserve"> uuele planeeringulahendusele</w:t>
      </w:r>
      <w:r w:rsidR="00306C86">
        <w:rPr>
          <w:iCs/>
          <w:szCs w:val="24"/>
        </w:rPr>
        <w:t xml:space="preserve"> (Alternatiiv 2)</w:t>
      </w:r>
      <w:r>
        <w:rPr>
          <w:iCs/>
          <w:szCs w:val="24"/>
        </w:rPr>
        <w:t xml:space="preserve"> koostatud KSH eelhinnangu raames </w:t>
      </w:r>
      <w:r w:rsidR="00B338BB">
        <w:rPr>
          <w:iCs/>
          <w:szCs w:val="24"/>
        </w:rPr>
        <w:t>aga</w:t>
      </w:r>
      <w:r w:rsidR="006F5041">
        <w:rPr>
          <w:iCs/>
          <w:szCs w:val="24"/>
        </w:rPr>
        <w:t xml:space="preserve"> tuvastati</w:t>
      </w:r>
      <w:r>
        <w:rPr>
          <w:iCs/>
          <w:szCs w:val="24"/>
        </w:rPr>
        <w:t xml:space="preserve">, et kavandatava tegevusega eeldatavalt olulist ebasoodsat keskkonnamõju ei kaasne, kui järgitakse </w:t>
      </w:r>
      <w:r w:rsidR="00760771">
        <w:rPr>
          <w:iCs/>
          <w:szCs w:val="24"/>
        </w:rPr>
        <w:t xml:space="preserve">esitatud </w:t>
      </w:r>
      <w:r>
        <w:rPr>
          <w:iCs/>
          <w:szCs w:val="24"/>
        </w:rPr>
        <w:t>soovitusi.</w:t>
      </w:r>
      <w:r w:rsidR="00316DAD">
        <w:rPr>
          <w:iCs/>
          <w:szCs w:val="24"/>
        </w:rPr>
        <w:t xml:space="preserve"> Samuti ei avalda Alternatiiv 2 ebasoodsat mõju </w:t>
      </w:r>
      <w:r w:rsidR="0078056F">
        <w:rPr>
          <w:iCs/>
          <w:szCs w:val="24"/>
        </w:rPr>
        <w:t>planeeritava ala naabruses paiknevatele ehitismälestistele nr 8899 (Tammneeme rannakaitsepatarei meeskonna kasarm, 1930. a) ja nr 8898 (Tammneeme rannakaitsepatarei, 1928-1930. a), kuivõrd detailplaneeringuga ei kavandata midagi ehitismälestiste kaitsevööndisse, ja kuna ehitismälestiste ning kavandatavate elamute vahele jääb säiliv mets, puudub negatiivne visuaalne mõju.</w:t>
      </w:r>
      <w:r w:rsidR="00306C86">
        <w:rPr>
          <w:iCs/>
          <w:szCs w:val="24"/>
        </w:rPr>
        <w:t xml:space="preserve"> Seoses eeltooduga tegi detailplaneeringu koostaja </w:t>
      </w:r>
      <w:proofErr w:type="spellStart"/>
      <w:r w:rsidR="00306C86">
        <w:rPr>
          <w:iCs/>
          <w:szCs w:val="24"/>
        </w:rPr>
        <w:t>Skepast&amp;Puhkim</w:t>
      </w:r>
      <w:proofErr w:type="spellEnd"/>
      <w:r w:rsidR="00306C86">
        <w:rPr>
          <w:iCs/>
          <w:szCs w:val="24"/>
        </w:rPr>
        <w:t xml:space="preserve"> OÜ</w:t>
      </w:r>
      <w:r w:rsidR="00262E57">
        <w:rPr>
          <w:iCs/>
          <w:szCs w:val="24"/>
        </w:rPr>
        <w:t xml:space="preserve"> 2.03.2017 kirjaga </w:t>
      </w:r>
      <w:r w:rsidR="00306C86">
        <w:rPr>
          <w:iCs/>
          <w:szCs w:val="24"/>
        </w:rPr>
        <w:t xml:space="preserve">nr PK-13 </w:t>
      </w:r>
      <w:r w:rsidR="00760771">
        <w:rPr>
          <w:iCs/>
          <w:szCs w:val="24"/>
        </w:rPr>
        <w:t xml:space="preserve">(registreeritud valla dokumendiregistris 2.03.2017 numbriga 10-10/1074) </w:t>
      </w:r>
      <w:r w:rsidR="0064096A">
        <w:rPr>
          <w:iCs/>
          <w:szCs w:val="24"/>
        </w:rPr>
        <w:t>vallav</w:t>
      </w:r>
      <w:r w:rsidR="00760771">
        <w:rPr>
          <w:iCs/>
          <w:szCs w:val="24"/>
        </w:rPr>
        <w:t>alitsusele</w:t>
      </w:r>
      <w:r w:rsidR="0064096A">
        <w:rPr>
          <w:iCs/>
          <w:szCs w:val="24"/>
        </w:rPr>
        <w:t xml:space="preserve"> </w:t>
      </w:r>
      <w:r w:rsidR="005D112B">
        <w:rPr>
          <w:iCs/>
          <w:szCs w:val="24"/>
        </w:rPr>
        <w:t>ettepanek</w:t>
      </w:r>
      <w:r w:rsidR="0064096A">
        <w:rPr>
          <w:iCs/>
          <w:szCs w:val="24"/>
        </w:rPr>
        <w:t>u</w:t>
      </w:r>
      <w:r w:rsidR="00306C86">
        <w:rPr>
          <w:iCs/>
          <w:szCs w:val="24"/>
        </w:rPr>
        <w:t xml:space="preserve"> </w:t>
      </w:r>
      <w:r w:rsidR="005D112B">
        <w:rPr>
          <w:iCs/>
          <w:szCs w:val="24"/>
        </w:rPr>
        <w:t xml:space="preserve">KSH menetluse </w:t>
      </w:r>
      <w:r w:rsidR="00760771">
        <w:rPr>
          <w:iCs/>
          <w:szCs w:val="24"/>
        </w:rPr>
        <w:t>lõpetamiseks</w:t>
      </w:r>
      <w:r w:rsidR="0078056F">
        <w:rPr>
          <w:iCs/>
          <w:szCs w:val="24"/>
        </w:rPr>
        <w:t>.</w:t>
      </w:r>
      <w:r w:rsidR="00262E57">
        <w:rPr>
          <w:iCs/>
          <w:szCs w:val="24"/>
        </w:rPr>
        <w:t xml:space="preserve"> Samas kirjas palus taotleja muuta Otsust </w:t>
      </w:r>
      <w:r w:rsidR="00856916">
        <w:rPr>
          <w:iCs/>
          <w:szCs w:val="24"/>
        </w:rPr>
        <w:t xml:space="preserve">ka </w:t>
      </w:r>
      <w:r w:rsidR="00262E57">
        <w:rPr>
          <w:iCs/>
          <w:szCs w:val="24"/>
        </w:rPr>
        <w:t>osas, mille kohaselt nähakse detailplaneeringu raames ette planeeringualale jääva rohevõrgustiku koridori ja haljastu nr 34 paiknemise täpsustamine, lisada lähteseisukohtadesse nõustumus</w:t>
      </w:r>
      <w:r w:rsidR="00266A16" w:rsidRPr="00266A16">
        <w:rPr>
          <w:iCs/>
          <w:szCs w:val="24"/>
        </w:rPr>
        <w:t xml:space="preserve"> </w:t>
      </w:r>
      <w:r w:rsidR="00266A16">
        <w:rPr>
          <w:iCs/>
          <w:szCs w:val="24"/>
        </w:rPr>
        <w:t>elamukruntide ümber</w:t>
      </w:r>
      <w:r w:rsidR="00262E57">
        <w:rPr>
          <w:iCs/>
          <w:szCs w:val="24"/>
        </w:rPr>
        <w:t xml:space="preserve"> 2 (kahe) meetri kõrguse piirdeaia lubamiseks,</w:t>
      </w:r>
      <w:r w:rsidR="00266A16">
        <w:rPr>
          <w:iCs/>
          <w:szCs w:val="24"/>
        </w:rPr>
        <w:t xml:space="preserve"> erinevalt üldplaneeringu teemaplaneeringuga </w:t>
      </w:r>
      <w:r w:rsidR="00266A16">
        <w:rPr>
          <w:i/>
          <w:iCs/>
          <w:szCs w:val="24"/>
        </w:rPr>
        <w:t>Viimsi valla üldiste ehitustingimuste määramine. Elamuehituse põhimõtted.</w:t>
      </w:r>
      <w:r w:rsidR="00BF4557">
        <w:rPr>
          <w:iCs/>
          <w:szCs w:val="24"/>
        </w:rPr>
        <w:t xml:space="preserve"> (edaspidi Elamuehituse Teemaplaneering)</w:t>
      </w:r>
      <w:r w:rsidR="00266A16">
        <w:rPr>
          <w:iCs/>
          <w:szCs w:val="24"/>
        </w:rPr>
        <w:t xml:space="preserve"> sätestatust,</w:t>
      </w:r>
      <w:r w:rsidR="00262E57">
        <w:rPr>
          <w:iCs/>
          <w:szCs w:val="24"/>
        </w:rPr>
        <w:t xml:space="preserve"> põhjendades seda eesmärgiga luua turvalisem elukeskkond</w:t>
      </w:r>
      <w:r w:rsidR="00266A16">
        <w:rPr>
          <w:iCs/>
          <w:szCs w:val="24"/>
        </w:rPr>
        <w:t>, ning muuta Otsust osas, kus on sätestatud, et detailplaneeringuga tehakse ettepanek ranna ehituskeeluvööndi vähendamiseks, kuivõrd elamuid uue lahenduse kohaselt ehituskeeluvööndisse ei kavandata</w:t>
      </w:r>
      <w:r w:rsidR="00262E57">
        <w:rPr>
          <w:iCs/>
          <w:szCs w:val="24"/>
        </w:rPr>
        <w:t>.</w:t>
      </w:r>
    </w:p>
    <w:p w:rsidR="008D4EF7" w:rsidRDefault="00262E57">
      <w:pPr>
        <w:pStyle w:val="Loetelu"/>
        <w:numPr>
          <w:ilvl w:val="0"/>
          <w:numId w:val="0"/>
        </w:numPr>
        <w:spacing w:before="0" w:after="120"/>
        <w:rPr>
          <w:iCs/>
          <w:szCs w:val="24"/>
        </w:rPr>
      </w:pPr>
      <w:r>
        <w:rPr>
          <w:iCs/>
          <w:szCs w:val="24"/>
        </w:rPr>
        <w:t xml:space="preserve">Vallavolikogu nõustub </w:t>
      </w:r>
      <w:proofErr w:type="spellStart"/>
      <w:r>
        <w:rPr>
          <w:iCs/>
          <w:szCs w:val="24"/>
        </w:rPr>
        <w:t>Skepast&amp;Puhkim</w:t>
      </w:r>
      <w:proofErr w:type="spellEnd"/>
      <w:r>
        <w:rPr>
          <w:iCs/>
          <w:szCs w:val="24"/>
        </w:rPr>
        <w:t xml:space="preserve"> OÜ </w:t>
      </w:r>
      <w:r w:rsidR="00266A16">
        <w:rPr>
          <w:iCs/>
          <w:szCs w:val="24"/>
        </w:rPr>
        <w:t>ettepanekuga</w:t>
      </w:r>
      <w:r>
        <w:rPr>
          <w:iCs/>
          <w:szCs w:val="24"/>
        </w:rPr>
        <w:t xml:space="preserve"> </w:t>
      </w:r>
      <w:r w:rsidR="00266A16">
        <w:rPr>
          <w:iCs/>
          <w:szCs w:val="24"/>
        </w:rPr>
        <w:t>KSH menetluse lõpetamise</w:t>
      </w:r>
      <w:r w:rsidR="00BF4557">
        <w:rPr>
          <w:iCs/>
          <w:szCs w:val="24"/>
        </w:rPr>
        <w:t xml:space="preserve"> osas</w:t>
      </w:r>
      <w:r w:rsidR="00266A16">
        <w:rPr>
          <w:iCs/>
          <w:szCs w:val="24"/>
        </w:rPr>
        <w:t xml:space="preserve"> ja on seisukohal, et ettepanek on ülalnimetatud töödest nähtuvalt põhjendatud ning KSH menetluse läbi</w:t>
      </w:r>
      <w:r w:rsidR="00D1783B">
        <w:rPr>
          <w:iCs/>
          <w:szCs w:val="24"/>
        </w:rPr>
        <w:t>viimine detailplaneeringule ei ole</w:t>
      </w:r>
      <w:r w:rsidR="00266A16">
        <w:rPr>
          <w:iCs/>
          <w:szCs w:val="24"/>
        </w:rPr>
        <w:t xml:space="preserve"> vajalik</w:t>
      </w:r>
      <w:r w:rsidR="006754B8">
        <w:rPr>
          <w:iCs/>
          <w:szCs w:val="24"/>
        </w:rPr>
        <w:t>.</w:t>
      </w:r>
      <w:r w:rsidR="00266A16">
        <w:rPr>
          <w:iCs/>
          <w:szCs w:val="24"/>
        </w:rPr>
        <w:t xml:space="preserve"> </w:t>
      </w:r>
      <w:r w:rsidR="006754B8">
        <w:rPr>
          <w:iCs/>
          <w:szCs w:val="24"/>
        </w:rPr>
        <w:t>K</w:t>
      </w:r>
      <w:r w:rsidR="00266A16">
        <w:rPr>
          <w:iCs/>
          <w:szCs w:val="24"/>
        </w:rPr>
        <w:t xml:space="preserve">eskkonnatingimusi on võimalik määrata ka detailplaneeringuga. Samuti nõustub volikogu </w:t>
      </w:r>
      <w:r w:rsidR="00BF4557">
        <w:rPr>
          <w:iCs/>
          <w:szCs w:val="24"/>
        </w:rPr>
        <w:t xml:space="preserve">ettepanekuga, mis puudutab planeeringualale jääva rohevõrgustiku koridori ja haljastu nr 34 paiknemise osalist muutmist, et oleks võimalik realiseerida </w:t>
      </w:r>
      <w:r w:rsidR="00971292">
        <w:rPr>
          <w:iCs/>
          <w:szCs w:val="24"/>
        </w:rPr>
        <w:t>väiksema keskkonnamõjuga</w:t>
      </w:r>
      <w:r w:rsidR="00BF4557">
        <w:rPr>
          <w:iCs/>
          <w:szCs w:val="24"/>
        </w:rPr>
        <w:t xml:space="preserve"> planeeringulahendus. Samas ei nõustu volikogu </w:t>
      </w:r>
      <w:r w:rsidR="00971292">
        <w:rPr>
          <w:iCs/>
          <w:szCs w:val="24"/>
        </w:rPr>
        <w:t xml:space="preserve">kirjas tehtud </w:t>
      </w:r>
      <w:r w:rsidR="00BF4557">
        <w:rPr>
          <w:iCs/>
          <w:szCs w:val="24"/>
        </w:rPr>
        <w:t>ettepanekuga, suurendada Elamuehituse Teemaplaneeringuga sätestatud piirde</w:t>
      </w:r>
      <w:r w:rsidR="006754B8">
        <w:rPr>
          <w:iCs/>
          <w:szCs w:val="24"/>
        </w:rPr>
        <w:t>le ettenähtud</w:t>
      </w:r>
      <w:r w:rsidR="00BF4557">
        <w:rPr>
          <w:iCs/>
          <w:szCs w:val="24"/>
        </w:rPr>
        <w:t xml:space="preserve"> suurimat lubatud kõrgust 1,5 meetrilt 2</w:t>
      </w:r>
      <w:r w:rsidR="00083AB7">
        <w:rPr>
          <w:iCs/>
          <w:szCs w:val="24"/>
        </w:rPr>
        <w:t>,0</w:t>
      </w:r>
      <w:r w:rsidR="00BF4557">
        <w:rPr>
          <w:iCs/>
          <w:szCs w:val="24"/>
        </w:rPr>
        <w:t xml:space="preserve"> meetrini, kuivõrd </w:t>
      </w:r>
      <w:r w:rsidR="006754B8">
        <w:rPr>
          <w:iCs/>
          <w:szCs w:val="24"/>
        </w:rPr>
        <w:t>on seisukohal</w:t>
      </w:r>
      <w:r w:rsidR="00BF4557">
        <w:rPr>
          <w:iCs/>
          <w:szCs w:val="24"/>
        </w:rPr>
        <w:t xml:space="preserve">, et </w:t>
      </w:r>
      <w:r w:rsidR="006754B8">
        <w:rPr>
          <w:iCs/>
          <w:szCs w:val="24"/>
        </w:rPr>
        <w:t xml:space="preserve">nimetatud sätte puhul on </w:t>
      </w:r>
      <w:r w:rsidR="00BF4557">
        <w:rPr>
          <w:iCs/>
          <w:szCs w:val="24"/>
        </w:rPr>
        <w:t xml:space="preserve">tegu </w:t>
      </w:r>
      <w:r w:rsidR="00C84AF1">
        <w:rPr>
          <w:iCs/>
          <w:szCs w:val="24"/>
        </w:rPr>
        <w:t xml:space="preserve">laiemat mõju omava </w:t>
      </w:r>
      <w:r w:rsidR="00BF4557">
        <w:rPr>
          <w:iCs/>
          <w:szCs w:val="24"/>
        </w:rPr>
        <w:t xml:space="preserve">normiga, mis kohaldub </w:t>
      </w:r>
      <w:r w:rsidR="00083AB7">
        <w:rPr>
          <w:iCs/>
          <w:szCs w:val="24"/>
        </w:rPr>
        <w:t xml:space="preserve">eranditult </w:t>
      </w:r>
      <w:r w:rsidR="00BF4557">
        <w:rPr>
          <w:iCs/>
          <w:szCs w:val="24"/>
        </w:rPr>
        <w:t xml:space="preserve">kõigile </w:t>
      </w:r>
      <w:r w:rsidR="00083AB7">
        <w:rPr>
          <w:iCs/>
          <w:szCs w:val="24"/>
        </w:rPr>
        <w:t xml:space="preserve">ja </w:t>
      </w:r>
      <w:r w:rsidR="00C84AF1">
        <w:rPr>
          <w:iCs/>
          <w:szCs w:val="24"/>
        </w:rPr>
        <w:t>taotletav</w:t>
      </w:r>
      <w:r w:rsidR="00971292">
        <w:rPr>
          <w:iCs/>
          <w:szCs w:val="24"/>
        </w:rPr>
        <w:t xml:space="preserve"> erand </w:t>
      </w:r>
      <w:r w:rsidR="00D1783B">
        <w:rPr>
          <w:iCs/>
          <w:szCs w:val="24"/>
        </w:rPr>
        <w:t>ei ole</w:t>
      </w:r>
      <w:r w:rsidR="006754B8">
        <w:rPr>
          <w:iCs/>
          <w:szCs w:val="24"/>
        </w:rPr>
        <w:t xml:space="preserve"> </w:t>
      </w:r>
      <w:r w:rsidR="00083AB7">
        <w:rPr>
          <w:iCs/>
          <w:szCs w:val="24"/>
        </w:rPr>
        <w:t>antud tingimustes</w:t>
      </w:r>
      <w:r w:rsidR="00C84AF1">
        <w:rPr>
          <w:iCs/>
          <w:szCs w:val="24"/>
        </w:rPr>
        <w:t xml:space="preserve"> millegagi</w:t>
      </w:r>
      <w:r w:rsidR="00083AB7">
        <w:rPr>
          <w:iCs/>
          <w:szCs w:val="24"/>
        </w:rPr>
        <w:t xml:space="preserve"> </w:t>
      </w:r>
      <w:r w:rsidR="006754B8">
        <w:rPr>
          <w:iCs/>
          <w:szCs w:val="24"/>
        </w:rPr>
        <w:t xml:space="preserve">põhjendatud. </w:t>
      </w:r>
      <w:r w:rsidR="00C84AF1">
        <w:rPr>
          <w:iCs/>
          <w:szCs w:val="24"/>
        </w:rPr>
        <w:t xml:space="preserve">Lisaks </w:t>
      </w:r>
      <w:r w:rsidR="006754B8">
        <w:rPr>
          <w:iCs/>
          <w:szCs w:val="24"/>
        </w:rPr>
        <w:t xml:space="preserve">oleks </w:t>
      </w:r>
      <w:r w:rsidR="00C84AF1">
        <w:rPr>
          <w:iCs/>
          <w:szCs w:val="24"/>
        </w:rPr>
        <w:t xml:space="preserve">see </w:t>
      </w:r>
      <w:r w:rsidR="00971292">
        <w:rPr>
          <w:iCs/>
          <w:szCs w:val="24"/>
        </w:rPr>
        <w:t xml:space="preserve">ka </w:t>
      </w:r>
      <w:r w:rsidR="006754B8">
        <w:rPr>
          <w:iCs/>
          <w:szCs w:val="24"/>
        </w:rPr>
        <w:t xml:space="preserve">pretsedenti loov ja </w:t>
      </w:r>
      <w:r w:rsidR="00971292">
        <w:rPr>
          <w:iCs/>
          <w:szCs w:val="24"/>
        </w:rPr>
        <w:t>jätaks avalikkusele mulje, justkui volikogu on kehtestanud</w:t>
      </w:r>
      <w:r w:rsidR="00083AB7">
        <w:rPr>
          <w:iCs/>
          <w:szCs w:val="24"/>
        </w:rPr>
        <w:t xml:space="preserve"> üldplaneeringu, mille alusel </w:t>
      </w:r>
      <w:r w:rsidR="00D1783B">
        <w:rPr>
          <w:iCs/>
          <w:szCs w:val="24"/>
        </w:rPr>
        <w:t>ei ole</w:t>
      </w:r>
      <w:r w:rsidR="00971292">
        <w:rPr>
          <w:iCs/>
          <w:szCs w:val="24"/>
        </w:rPr>
        <w:t xml:space="preserve"> võimalik turvalist elukeskkonda planeerida. Turvalise elukeskkonna tagamiseks on välja töötatud vastavad planeeringuvõtted ja metoodikad</w:t>
      </w:r>
      <w:r w:rsidR="00971292" w:rsidRPr="005664A5">
        <w:rPr>
          <w:iCs/>
          <w:szCs w:val="24"/>
        </w:rPr>
        <w:t xml:space="preserve">, </w:t>
      </w:r>
      <w:r w:rsidR="005664A5" w:rsidRPr="005664A5">
        <w:rPr>
          <w:iCs/>
          <w:szCs w:val="24"/>
        </w:rPr>
        <w:t>mille</w:t>
      </w:r>
      <w:r w:rsidR="00971292">
        <w:rPr>
          <w:iCs/>
          <w:szCs w:val="24"/>
        </w:rPr>
        <w:t xml:space="preserve"> järgimisel </w:t>
      </w:r>
      <w:r w:rsidR="003E2AA6">
        <w:rPr>
          <w:iCs/>
          <w:szCs w:val="24"/>
        </w:rPr>
        <w:t xml:space="preserve">saab luua </w:t>
      </w:r>
      <w:r w:rsidR="00971292">
        <w:rPr>
          <w:iCs/>
          <w:szCs w:val="24"/>
        </w:rPr>
        <w:t>elanike</w:t>
      </w:r>
      <w:r w:rsidR="00C84AF1">
        <w:rPr>
          <w:iCs/>
          <w:szCs w:val="24"/>
        </w:rPr>
        <w:t xml:space="preserve"> jaoks</w:t>
      </w:r>
      <w:r w:rsidR="00971292">
        <w:rPr>
          <w:iCs/>
          <w:szCs w:val="24"/>
        </w:rPr>
        <w:t xml:space="preserve"> meeldiv</w:t>
      </w:r>
      <w:r w:rsidR="003E2AA6">
        <w:rPr>
          <w:iCs/>
          <w:szCs w:val="24"/>
        </w:rPr>
        <w:t>a</w:t>
      </w:r>
      <w:r w:rsidR="00971292">
        <w:rPr>
          <w:iCs/>
          <w:szCs w:val="24"/>
        </w:rPr>
        <w:t xml:space="preserve"> ja turvali</w:t>
      </w:r>
      <w:r w:rsidR="003E2AA6">
        <w:rPr>
          <w:iCs/>
          <w:szCs w:val="24"/>
        </w:rPr>
        <w:t>s</w:t>
      </w:r>
      <w:r w:rsidR="00971292">
        <w:rPr>
          <w:iCs/>
          <w:szCs w:val="24"/>
        </w:rPr>
        <w:t>e</w:t>
      </w:r>
      <w:r w:rsidR="003E2AA6">
        <w:rPr>
          <w:iCs/>
          <w:szCs w:val="24"/>
        </w:rPr>
        <w:t xml:space="preserve"> kodukoha</w:t>
      </w:r>
      <w:r w:rsidR="00971292">
        <w:rPr>
          <w:iCs/>
          <w:szCs w:val="24"/>
        </w:rPr>
        <w:t xml:space="preserve">. Samuti jäetakse jõusse ranna ehituskeeluvööndi vähendamise taotlemise ettepanek, sest detailplaneeringu koostamise avalik huvi </w:t>
      </w:r>
      <w:r w:rsidR="00C84AF1">
        <w:rPr>
          <w:iCs/>
          <w:szCs w:val="24"/>
        </w:rPr>
        <w:t>seisneb</w:t>
      </w:r>
      <w:r w:rsidR="00971292">
        <w:rPr>
          <w:iCs/>
          <w:szCs w:val="24"/>
        </w:rPr>
        <w:t xml:space="preserve"> muuhulgas avalikult kasutatava tervisespordi väljaku planeerimi</w:t>
      </w:r>
      <w:r w:rsidR="00C84AF1">
        <w:rPr>
          <w:iCs/>
          <w:szCs w:val="24"/>
        </w:rPr>
        <w:t>s</w:t>
      </w:r>
      <w:r w:rsidR="00971292">
        <w:rPr>
          <w:iCs/>
          <w:szCs w:val="24"/>
        </w:rPr>
        <w:t>e</w:t>
      </w:r>
      <w:r w:rsidR="00C84AF1">
        <w:rPr>
          <w:iCs/>
          <w:szCs w:val="24"/>
        </w:rPr>
        <w:t>s</w:t>
      </w:r>
      <w:r w:rsidR="00971292">
        <w:rPr>
          <w:iCs/>
          <w:szCs w:val="24"/>
        </w:rPr>
        <w:t>, mis oli esialgsete kavatsuste põhjal planeeritud ehituskeeluvööndisse</w:t>
      </w:r>
      <w:r w:rsidR="003E2AA6">
        <w:rPr>
          <w:iCs/>
          <w:szCs w:val="24"/>
        </w:rPr>
        <w:t xml:space="preserve"> ja</w:t>
      </w:r>
      <w:r w:rsidR="00971292">
        <w:rPr>
          <w:iCs/>
          <w:szCs w:val="24"/>
        </w:rPr>
        <w:t xml:space="preserve"> </w:t>
      </w:r>
      <w:r w:rsidR="003E2AA6">
        <w:rPr>
          <w:iCs/>
          <w:szCs w:val="24"/>
        </w:rPr>
        <w:t>k</w:t>
      </w:r>
      <w:r w:rsidR="00D1783B">
        <w:rPr>
          <w:iCs/>
          <w:szCs w:val="24"/>
        </w:rPr>
        <w:t>uigi ei ole</w:t>
      </w:r>
      <w:r w:rsidR="00971292">
        <w:rPr>
          <w:iCs/>
          <w:szCs w:val="24"/>
        </w:rPr>
        <w:t xml:space="preserve"> hetkel teada, kuhu täpselt pärast planeeringu lahenduse korrigeerimist selle asukoht määratakse, </w:t>
      </w:r>
      <w:r w:rsidR="00D1783B">
        <w:rPr>
          <w:iCs/>
          <w:szCs w:val="24"/>
        </w:rPr>
        <w:t>ei ole</w:t>
      </w:r>
      <w:r w:rsidR="00971292">
        <w:rPr>
          <w:iCs/>
          <w:szCs w:val="24"/>
        </w:rPr>
        <w:t xml:space="preserve"> ka </w:t>
      </w:r>
      <w:r w:rsidR="003E2AA6">
        <w:rPr>
          <w:iCs/>
          <w:szCs w:val="24"/>
        </w:rPr>
        <w:t xml:space="preserve">hetkel </w:t>
      </w:r>
      <w:r w:rsidR="00971292">
        <w:rPr>
          <w:iCs/>
          <w:szCs w:val="24"/>
        </w:rPr>
        <w:t>vajalik nimetatud sätet muuta.</w:t>
      </w:r>
    </w:p>
    <w:p w:rsidR="00892780" w:rsidRDefault="00E9646B">
      <w:pPr>
        <w:pStyle w:val="Loetelu"/>
        <w:numPr>
          <w:ilvl w:val="0"/>
          <w:numId w:val="0"/>
        </w:numPr>
      </w:pPr>
      <w:r>
        <w:rPr>
          <w:szCs w:val="24"/>
        </w:rPr>
        <w:lastRenderedPageBreak/>
        <w:t xml:space="preserve">Lähtudes </w:t>
      </w:r>
      <w:r w:rsidR="00892780">
        <w:rPr>
          <w:szCs w:val="24"/>
        </w:rPr>
        <w:t>ülaltoodu</w:t>
      </w:r>
      <w:r>
        <w:rPr>
          <w:szCs w:val="24"/>
        </w:rPr>
        <w:t>d selgitustest ja</w:t>
      </w:r>
      <w:r w:rsidR="00892780">
        <w:rPr>
          <w:szCs w:val="24"/>
        </w:rPr>
        <w:t xml:space="preserve"> juhindudes </w:t>
      </w:r>
      <w:r w:rsidR="00382F20">
        <w:rPr>
          <w:szCs w:val="24"/>
        </w:rPr>
        <w:t xml:space="preserve">haldusmenetluse </w:t>
      </w:r>
      <w:r w:rsidR="00892780">
        <w:rPr>
          <w:szCs w:val="24"/>
        </w:rPr>
        <w:t xml:space="preserve">seaduse § </w:t>
      </w:r>
      <w:r>
        <w:rPr>
          <w:szCs w:val="24"/>
        </w:rPr>
        <w:t>64 - § 70</w:t>
      </w:r>
      <w:r w:rsidR="00892780">
        <w:rPr>
          <w:color w:val="000000"/>
          <w:szCs w:val="24"/>
        </w:rPr>
        <w:t xml:space="preserve"> nin</w:t>
      </w:r>
      <w:r w:rsidR="00892780">
        <w:rPr>
          <w:szCs w:val="24"/>
        </w:rPr>
        <w:t xml:space="preserve">g </w:t>
      </w:r>
      <w:r>
        <w:rPr>
          <w:szCs w:val="24"/>
        </w:rPr>
        <w:t xml:space="preserve">võttes aluseks </w:t>
      </w:r>
      <w:proofErr w:type="spellStart"/>
      <w:r>
        <w:rPr>
          <w:iCs/>
          <w:szCs w:val="24"/>
        </w:rPr>
        <w:t>Skepast&amp;Puhkim</w:t>
      </w:r>
      <w:proofErr w:type="spellEnd"/>
      <w:r>
        <w:rPr>
          <w:iCs/>
          <w:szCs w:val="24"/>
        </w:rPr>
        <w:t xml:space="preserve"> OÜ töö nr 2017-0018_01 „</w:t>
      </w:r>
      <w:r>
        <w:rPr>
          <w:i/>
          <w:iCs/>
          <w:szCs w:val="24"/>
        </w:rPr>
        <w:t>Planeeringulahenduse alternatiivide võrdlus – mõju metsale, rohekoridorile ja haljastule“</w:t>
      </w:r>
      <w:r>
        <w:rPr>
          <w:iCs/>
          <w:szCs w:val="24"/>
        </w:rPr>
        <w:t xml:space="preserve"> ja töö nr 2017-0018_02 </w:t>
      </w:r>
      <w:r>
        <w:rPr>
          <w:i/>
          <w:iCs/>
          <w:szCs w:val="24"/>
        </w:rPr>
        <w:t>„Keskkonnamõju strateegilise hindamise läbiviimise vajalikkuse hinnang“</w:t>
      </w:r>
      <w:r>
        <w:rPr>
          <w:iCs/>
          <w:szCs w:val="24"/>
        </w:rPr>
        <w:t xml:space="preserve"> ning </w:t>
      </w:r>
      <w:r>
        <w:rPr>
          <w:szCs w:val="24"/>
        </w:rPr>
        <w:t xml:space="preserve"> </w:t>
      </w:r>
      <w:proofErr w:type="spellStart"/>
      <w:r>
        <w:rPr>
          <w:iCs/>
          <w:szCs w:val="24"/>
        </w:rPr>
        <w:t>Skepast&amp;Puhkim</w:t>
      </w:r>
      <w:proofErr w:type="spellEnd"/>
      <w:r>
        <w:rPr>
          <w:iCs/>
          <w:szCs w:val="24"/>
        </w:rPr>
        <w:t xml:space="preserve"> OÜ 2.03.2017 kirjaga nr PK-13 tehtud ettepaneku (registreeritud valla dokumendiregistris 2.03.2017 numbriga 10-10/1074)</w:t>
      </w:r>
      <w:r w:rsidR="00D1783B">
        <w:rPr>
          <w:iCs/>
          <w:szCs w:val="24"/>
        </w:rPr>
        <w:t>, Viimsi Vallavolikogu</w:t>
      </w:r>
    </w:p>
    <w:p w:rsidR="00892780" w:rsidRDefault="00892780" w:rsidP="00D1783B">
      <w:pPr>
        <w:pStyle w:val="Loetelu"/>
        <w:numPr>
          <w:ilvl w:val="0"/>
          <w:numId w:val="0"/>
        </w:numPr>
        <w:spacing w:before="0"/>
      </w:pPr>
    </w:p>
    <w:p w:rsidR="00D1783B" w:rsidRDefault="00D1783B" w:rsidP="00D1783B">
      <w:pPr>
        <w:pStyle w:val="Loetelu"/>
        <w:numPr>
          <w:ilvl w:val="0"/>
          <w:numId w:val="0"/>
        </w:numPr>
        <w:spacing w:before="0"/>
      </w:pPr>
      <w:r>
        <w:t>o t s u s t a b:</w:t>
      </w:r>
    </w:p>
    <w:p w:rsidR="00D1783B" w:rsidRDefault="00D1783B">
      <w:pPr>
        <w:pStyle w:val="Loetelu"/>
        <w:numPr>
          <w:ilvl w:val="0"/>
          <w:numId w:val="0"/>
        </w:numPr>
        <w:spacing w:before="0"/>
        <w:ind w:left="284"/>
      </w:pPr>
    </w:p>
    <w:p w:rsidR="00D57BE1" w:rsidRDefault="00D57BE1" w:rsidP="00D57BE1">
      <w:pPr>
        <w:pStyle w:val="Loetelu"/>
        <w:numPr>
          <w:ilvl w:val="0"/>
          <w:numId w:val="3"/>
        </w:numPr>
        <w:tabs>
          <w:tab w:val="clear" w:pos="720"/>
          <w:tab w:val="num" w:pos="284"/>
        </w:tabs>
        <w:suppressAutoHyphens w:val="0"/>
        <w:spacing w:before="0" w:after="120"/>
        <w:ind w:left="284" w:hanging="284"/>
        <w:rPr>
          <w:szCs w:val="24"/>
        </w:rPr>
      </w:pPr>
      <w:r>
        <w:t>Muuta Viimsi Vallavolikogu 21.06.2016 otsuse nr 75 „</w:t>
      </w:r>
      <w:r>
        <w:rPr>
          <w:i/>
          <w:iCs/>
        </w:rPr>
        <w:t>Randvere külas, kinnistu Tammelaane ning osaliselt reformimata riigimaa detailplaneeringu algatamine, lähteseisukohtade kinnitamine ja keskkonnamõju strateegilise hinda</w:t>
      </w:r>
      <w:r>
        <w:rPr>
          <w:i/>
          <w:iCs/>
          <w:color w:val="000000"/>
        </w:rPr>
        <w:t>mise algatamine</w:t>
      </w:r>
      <w:r>
        <w:rPr>
          <w:color w:val="000000"/>
        </w:rPr>
        <w:t>“ (edaspidi Otsus nr 75)</w:t>
      </w:r>
      <w:r>
        <w:t xml:space="preserve"> peakirja ja sõnastada see järgmises redaktsioonis: </w:t>
      </w:r>
      <w:r>
        <w:rPr>
          <w:b/>
          <w:bCs/>
        </w:rPr>
        <w:t>„Randvere külas, kinnistu Tammelaane ning osaliselt reformimata riigimaa detailplaneeringu algatamine, lähteseisukohtade kinnitamine ja keskkonnamõju strateegilise hinda</w:t>
      </w:r>
      <w:r>
        <w:rPr>
          <w:b/>
          <w:bCs/>
          <w:color w:val="000000"/>
        </w:rPr>
        <w:t>mise algatamata jätmine.“</w:t>
      </w:r>
    </w:p>
    <w:p w:rsidR="00D57BE1" w:rsidRDefault="00D57BE1" w:rsidP="00D57BE1">
      <w:pPr>
        <w:pStyle w:val="Loetelu"/>
        <w:numPr>
          <w:ilvl w:val="0"/>
          <w:numId w:val="3"/>
        </w:numPr>
        <w:tabs>
          <w:tab w:val="clear" w:pos="720"/>
          <w:tab w:val="num" w:pos="284"/>
        </w:tabs>
        <w:suppressAutoHyphens w:val="0"/>
        <w:spacing w:before="0" w:after="120"/>
        <w:ind w:left="284" w:hanging="284"/>
      </w:pPr>
      <w:r>
        <w:t>Muuta Otsuse nr 75 sissejuhatava osa teise lõigu teise lause esimest lõiku: „</w:t>
      </w:r>
      <w:r>
        <w:rPr>
          <w:i/>
          <w:iCs/>
        </w:rPr>
        <w:t>Detailplaneeringuga ei tehta ettepanekut üldplaneeringu teemaplaneeringu Miljööväärtuslikud alad ja rohevõrgustik muutmiseks, …“</w:t>
      </w:r>
      <w:r>
        <w:t xml:space="preserve"> ja lähteseisukohtade (otsuse lisa 1) punkti 4 kolmandat lõiku: </w:t>
      </w:r>
      <w:r>
        <w:rPr>
          <w:i/>
          <w:iCs/>
        </w:rPr>
        <w:t>„Detailplaneeringuga ei tehta ettepanekut üldplaneeringu teemaplaneeringu Miljööväärtuslikud alad ja rohevõrgustik muutmiseks, teemaplaneeringu kohase haljastu nr 34 ja rohevõrgustiku koridor säilitatakse detailplaneeringus vastavuses teemaplaneeringu tingimustega. …“</w:t>
      </w:r>
      <w:r>
        <w:t xml:space="preserve"> ja sõnastada need järgmises redaktsioonis: </w:t>
      </w:r>
      <w:r>
        <w:rPr>
          <w:b/>
          <w:bCs/>
        </w:rPr>
        <w:t xml:space="preserve">„Detailplaneeringuga tehakse ettepanek üldplaneeringu teemaplaneeringu </w:t>
      </w:r>
      <w:r>
        <w:rPr>
          <w:b/>
          <w:bCs/>
          <w:i/>
          <w:iCs/>
        </w:rPr>
        <w:t xml:space="preserve">Miljööväärtuslikud alad ja rohevõrgustik </w:t>
      </w:r>
      <w:r>
        <w:rPr>
          <w:b/>
          <w:bCs/>
        </w:rPr>
        <w:t>kohaste haljastu nr 34 ja rohevõrgustiku koridori asukoha osaliseks muutmiseks planeeringualal, nihutades osa haljastust ja rohekoridori ranna ehituskeeluvööndi alale, säilitades sealjuures teemaplaneeringuga määratud rohevõrgustiku pindala ulatuse ja tagades rohealade sidususe. Detailplaneeringu koostamisse kaasata keskkonnaekspert (KSH juh</w:t>
      </w:r>
      <w:r w:rsidR="005664A5">
        <w:rPr>
          <w:b/>
          <w:bCs/>
        </w:rPr>
        <w:t>tekspert)</w:t>
      </w:r>
      <w:r>
        <w:rPr>
          <w:b/>
          <w:bCs/>
        </w:rPr>
        <w:t>“</w:t>
      </w:r>
      <w:r w:rsidR="005664A5">
        <w:rPr>
          <w:b/>
          <w:bCs/>
        </w:rPr>
        <w:t>.</w:t>
      </w:r>
      <w:r>
        <w:rPr>
          <w:b/>
          <w:bCs/>
        </w:rPr>
        <w:t xml:space="preserve"> </w:t>
      </w:r>
    </w:p>
    <w:p w:rsidR="00D57BE1" w:rsidRDefault="00D57BE1" w:rsidP="00D57BE1">
      <w:pPr>
        <w:pStyle w:val="Loetelu"/>
        <w:numPr>
          <w:ilvl w:val="0"/>
          <w:numId w:val="3"/>
        </w:numPr>
        <w:tabs>
          <w:tab w:val="clear" w:pos="720"/>
          <w:tab w:val="num" w:pos="284"/>
        </w:tabs>
        <w:suppressAutoHyphens w:val="0"/>
        <w:spacing w:before="0" w:after="120"/>
        <w:ind w:left="284" w:hanging="284"/>
      </w:pPr>
      <w:r>
        <w:t xml:space="preserve">Muuta Otsuse nr 75 resolutiivosa punkti 3 ja sõnastada see järgmises redaktsioonis: </w:t>
      </w:r>
      <w:r>
        <w:rPr>
          <w:b/>
          <w:bCs/>
        </w:rPr>
        <w:t>„Jätta algatamata keskkonnamõju strateegiline hindamine kinnistu Tammelaane ja reformimata riigimaa detailplaneeringule“</w:t>
      </w:r>
      <w:r>
        <w:t>.</w:t>
      </w:r>
    </w:p>
    <w:p w:rsidR="001A1276" w:rsidRPr="001A1276" w:rsidRDefault="00D57BE1" w:rsidP="00D57BE1">
      <w:pPr>
        <w:pStyle w:val="Loetelu"/>
        <w:numPr>
          <w:ilvl w:val="0"/>
          <w:numId w:val="3"/>
        </w:numPr>
        <w:tabs>
          <w:tab w:val="clear" w:pos="720"/>
          <w:tab w:val="num" w:pos="284"/>
        </w:tabs>
        <w:ind w:left="284" w:hanging="284"/>
      </w:pPr>
      <w:r>
        <w:t>Tunnistada kehtetuks Otsuse nr 75 lisa 2 „Randvere külas, kinnistu Tammelaane ja osaliselt reformimata riigimaa detailplaneeringu keskkonnamõju strateegilise hindamise (KSH) eelhinnang.</w:t>
      </w:r>
    </w:p>
    <w:p w:rsidR="00892780" w:rsidRDefault="00892780" w:rsidP="00713961">
      <w:pPr>
        <w:pStyle w:val="Loetelu"/>
        <w:numPr>
          <w:ilvl w:val="0"/>
          <w:numId w:val="3"/>
        </w:numPr>
        <w:tabs>
          <w:tab w:val="clear" w:pos="720"/>
          <w:tab w:val="num" w:pos="284"/>
        </w:tabs>
        <w:ind w:left="284" w:hanging="284"/>
      </w:pPr>
      <w:r>
        <w:rPr>
          <w:iCs/>
          <w:szCs w:val="24"/>
        </w:rPr>
        <w:t>Otsuse ja sellega seotud dokumentidega on võimalik tutvuda etteteatamisel Viimsi Vallavalitsuses (Nelgi tee 1, Viimsi alevik).</w:t>
      </w:r>
    </w:p>
    <w:p w:rsidR="00892780" w:rsidRDefault="00892780" w:rsidP="00713961">
      <w:pPr>
        <w:pStyle w:val="Loetelu"/>
        <w:numPr>
          <w:ilvl w:val="0"/>
          <w:numId w:val="3"/>
        </w:numPr>
        <w:tabs>
          <w:tab w:val="clear" w:pos="720"/>
          <w:tab w:val="num" w:pos="284"/>
        </w:tabs>
        <w:ind w:left="284" w:hanging="284"/>
        <w:rPr>
          <w:spacing w:val="-4"/>
          <w:szCs w:val="24"/>
        </w:rPr>
      </w:pPr>
      <w:r>
        <w:t>Otsus jõustub teatavakstegemisest.</w:t>
      </w:r>
    </w:p>
    <w:p w:rsidR="00892780" w:rsidRDefault="00892780" w:rsidP="00713961">
      <w:pPr>
        <w:pStyle w:val="Loetelu"/>
        <w:numPr>
          <w:ilvl w:val="0"/>
          <w:numId w:val="3"/>
        </w:numPr>
        <w:tabs>
          <w:tab w:val="clear" w:pos="720"/>
          <w:tab w:val="num" w:pos="284"/>
        </w:tabs>
        <w:ind w:left="284" w:hanging="284"/>
      </w:pPr>
      <w:r>
        <w:rPr>
          <w:spacing w:val="-4"/>
          <w:szCs w:val="24"/>
        </w:rPr>
        <w:t>Otsust on võimalik vaidlustada Tallinna Halduskohtus (Pärnu mnt 7, Tallinn) või esitada vaie Viimsi Vallavolikogule 30 päeva jooksul arvates korralduse teatavakstegemisest.</w:t>
      </w:r>
    </w:p>
    <w:tbl>
      <w:tblPr>
        <w:tblW w:w="9072" w:type="dxa"/>
        <w:tblInd w:w="108" w:type="dxa"/>
        <w:tblLayout w:type="fixed"/>
        <w:tblLook w:val="0000" w:firstRow="0" w:lastRow="0" w:firstColumn="0" w:lastColumn="0" w:noHBand="0" w:noVBand="0"/>
      </w:tblPr>
      <w:tblGrid>
        <w:gridCol w:w="9072"/>
      </w:tblGrid>
      <w:tr w:rsidR="00892780" w:rsidTr="005664A5">
        <w:trPr>
          <w:cantSplit/>
        </w:trPr>
        <w:tc>
          <w:tcPr>
            <w:tcW w:w="9072" w:type="dxa"/>
            <w:shd w:val="clear" w:color="auto" w:fill="auto"/>
          </w:tcPr>
          <w:p w:rsidR="00892780" w:rsidRDefault="00892780">
            <w:pPr>
              <w:pStyle w:val="Kehatekst"/>
              <w:tabs>
                <w:tab w:val="left" w:pos="6521"/>
              </w:tabs>
              <w:snapToGrid w:val="0"/>
            </w:pPr>
          </w:p>
        </w:tc>
      </w:tr>
      <w:tr w:rsidR="00043FE9" w:rsidTr="005664A5">
        <w:trPr>
          <w:cantSplit/>
        </w:trPr>
        <w:tc>
          <w:tcPr>
            <w:tcW w:w="9072" w:type="dxa"/>
            <w:shd w:val="clear" w:color="auto" w:fill="auto"/>
          </w:tcPr>
          <w:p w:rsidR="00043FE9" w:rsidRDefault="00043FE9">
            <w:pPr>
              <w:pStyle w:val="Kehatekst"/>
              <w:tabs>
                <w:tab w:val="left" w:pos="6521"/>
              </w:tabs>
              <w:snapToGrid w:val="0"/>
              <w:rPr>
                <w:sz w:val="24"/>
                <w:szCs w:val="24"/>
              </w:rPr>
            </w:pPr>
          </w:p>
        </w:tc>
      </w:tr>
      <w:tr w:rsidR="00043FE9" w:rsidTr="005664A5">
        <w:trPr>
          <w:cantSplit/>
        </w:trPr>
        <w:tc>
          <w:tcPr>
            <w:tcW w:w="9072" w:type="dxa"/>
            <w:shd w:val="clear" w:color="auto" w:fill="auto"/>
          </w:tcPr>
          <w:p w:rsidR="00043FE9" w:rsidRDefault="00043FE9">
            <w:pPr>
              <w:pStyle w:val="Kehatekst"/>
              <w:tabs>
                <w:tab w:val="left" w:pos="6521"/>
              </w:tabs>
              <w:snapToGrid w:val="0"/>
              <w:rPr>
                <w:sz w:val="24"/>
                <w:szCs w:val="24"/>
              </w:rPr>
            </w:pPr>
          </w:p>
        </w:tc>
      </w:tr>
      <w:tr w:rsidR="00892780" w:rsidTr="005664A5">
        <w:trPr>
          <w:cantSplit/>
        </w:trPr>
        <w:tc>
          <w:tcPr>
            <w:tcW w:w="9072" w:type="dxa"/>
            <w:shd w:val="clear" w:color="auto" w:fill="auto"/>
          </w:tcPr>
          <w:p w:rsidR="00892780" w:rsidRDefault="00892780">
            <w:pPr>
              <w:pStyle w:val="Kehatekst"/>
              <w:tabs>
                <w:tab w:val="left" w:pos="6521"/>
              </w:tabs>
              <w:snapToGrid w:val="0"/>
              <w:rPr>
                <w:sz w:val="24"/>
                <w:szCs w:val="24"/>
              </w:rPr>
            </w:pPr>
          </w:p>
        </w:tc>
      </w:tr>
      <w:tr w:rsidR="00892780" w:rsidTr="005664A5">
        <w:trPr>
          <w:cantSplit/>
        </w:trPr>
        <w:tc>
          <w:tcPr>
            <w:tcW w:w="9072" w:type="dxa"/>
            <w:shd w:val="clear" w:color="auto" w:fill="auto"/>
          </w:tcPr>
          <w:p w:rsidR="00892780" w:rsidRDefault="005664A5">
            <w:pPr>
              <w:pStyle w:val="Kehatekst"/>
              <w:tabs>
                <w:tab w:val="left" w:pos="6521"/>
              </w:tabs>
              <w:snapToGrid w:val="0"/>
              <w:rPr>
                <w:sz w:val="24"/>
                <w:szCs w:val="24"/>
              </w:rPr>
            </w:pPr>
            <w:r>
              <w:rPr>
                <w:sz w:val="24"/>
                <w:szCs w:val="24"/>
              </w:rPr>
              <w:t>Toomas Tõniste</w:t>
            </w:r>
          </w:p>
        </w:tc>
      </w:tr>
      <w:tr w:rsidR="00892780" w:rsidTr="005664A5">
        <w:trPr>
          <w:cantSplit/>
          <w:trHeight w:val="304"/>
        </w:trPr>
        <w:tc>
          <w:tcPr>
            <w:tcW w:w="9072" w:type="dxa"/>
            <w:shd w:val="clear" w:color="auto" w:fill="auto"/>
          </w:tcPr>
          <w:p w:rsidR="00892780" w:rsidRDefault="005664A5">
            <w:pPr>
              <w:pStyle w:val="Kehatekst"/>
              <w:tabs>
                <w:tab w:val="left" w:pos="6521"/>
              </w:tabs>
              <w:snapToGrid w:val="0"/>
              <w:rPr>
                <w:sz w:val="24"/>
                <w:szCs w:val="24"/>
              </w:rPr>
            </w:pPr>
            <w:r>
              <w:rPr>
                <w:sz w:val="24"/>
                <w:szCs w:val="24"/>
              </w:rPr>
              <w:t>Vallavolikogu esimees</w:t>
            </w:r>
          </w:p>
        </w:tc>
      </w:tr>
    </w:tbl>
    <w:p w:rsidR="005664A5" w:rsidRDefault="005664A5">
      <w:pPr>
        <w:autoSpaceDE w:val="0"/>
        <w:jc w:val="both"/>
      </w:pPr>
    </w:p>
    <w:p w:rsidR="005664A5" w:rsidRDefault="005664A5">
      <w:pPr>
        <w:autoSpaceDE w:val="0"/>
        <w:jc w:val="both"/>
      </w:pPr>
    </w:p>
    <w:p w:rsidR="005664A5" w:rsidRDefault="005664A5">
      <w:pPr>
        <w:autoSpaceDE w:val="0"/>
        <w:jc w:val="both"/>
      </w:pPr>
    </w:p>
    <w:p w:rsidR="005664A5" w:rsidRDefault="005664A5" w:rsidP="005664A5">
      <w:pPr>
        <w:autoSpaceDE w:val="0"/>
        <w:jc w:val="both"/>
      </w:pPr>
      <w:r>
        <w:t>Eelnõu esitaja: Viimsi Vallavalitsus</w:t>
      </w:r>
    </w:p>
    <w:p w:rsidR="005664A5" w:rsidRDefault="005664A5" w:rsidP="005664A5">
      <w:pPr>
        <w:autoSpaceDE w:val="0"/>
        <w:jc w:val="both"/>
      </w:pPr>
      <w:r>
        <w:t>Eelnõu koostajad: Anne Siitan, planeeringute koordinaator</w:t>
      </w:r>
    </w:p>
    <w:p w:rsidR="005664A5" w:rsidRDefault="005664A5" w:rsidP="005664A5">
      <w:pPr>
        <w:jc w:val="both"/>
      </w:pPr>
    </w:p>
    <w:p w:rsidR="005664A5" w:rsidRDefault="005664A5" w:rsidP="005664A5">
      <w:pPr>
        <w:jc w:val="both"/>
      </w:pPr>
      <w:r>
        <w:t>Kooskõlastatud:</w:t>
      </w:r>
    </w:p>
    <w:p w:rsidR="005664A5" w:rsidRDefault="005664A5">
      <w:pPr>
        <w:autoSpaceDE w:val="0"/>
        <w:jc w:val="both"/>
      </w:pPr>
    </w:p>
    <w:p w:rsidR="005664A5" w:rsidRDefault="005664A5">
      <w:pPr>
        <w:autoSpaceDE w:val="0"/>
        <w:jc w:val="both"/>
      </w:pPr>
    </w:p>
    <w:p w:rsidR="005664A5" w:rsidRDefault="005664A5">
      <w:pPr>
        <w:autoSpaceDE w:val="0"/>
        <w:jc w:val="both"/>
      </w:pPr>
    </w:p>
    <w:p w:rsidR="005664A5" w:rsidRDefault="005664A5">
      <w:pPr>
        <w:autoSpaceDE w:val="0"/>
        <w:jc w:val="both"/>
      </w:pPr>
      <w:r>
        <w:t>Margus Kruusmägi                    Erik Vest                                        Kristi Tomingas</w:t>
      </w:r>
    </w:p>
    <w:p w:rsidR="005664A5" w:rsidRDefault="005664A5" w:rsidP="005664A5">
      <w:pPr>
        <w:jc w:val="both"/>
      </w:pPr>
      <w:r>
        <w:t>Abivallavanem                          Keskkonna- ja                                 Vallasekretär</w:t>
      </w:r>
    </w:p>
    <w:p w:rsidR="005664A5" w:rsidRDefault="005664A5" w:rsidP="005664A5">
      <w:pPr>
        <w:jc w:val="both"/>
      </w:pPr>
      <w:r>
        <w:t xml:space="preserve">                                                  planeerimisameti juhataja</w:t>
      </w:r>
    </w:p>
    <w:p w:rsidR="005664A5" w:rsidRDefault="005664A5">
      <w:pPr>
        <w:ind w:left="216"/>
      </w:pPr>
    </w:p>
    <w:p w:rsidR="00892780" w:rsidRDefault="00892780" w:rsidP="00D57BE1">
      <w:pPr>
        <w:pageBreakBefore/>
      </w:pPr>
      <w:bookmarkStart w:id="0" w:name="_GoBack"/>
      <w:bookmarkEnd w:id="0"/>
    </w:p>
    <w:sectPr w:rsidR="00892780">
      <w:headerReference w:type="default" r:id="rId8"/>
      <w:footerReference w:type="even" r:id="rId9"/>
      <w:footerReference w:type="default" r:id="rId10"/>
      <w:headerReference w:type="first" r:id="rId11"/>
      <w:footerReference w:type="first" r:id="rId12"/>
      <w:pgSz w:w="11906" w:h="16838"/>
      <w:pgMar w:top="1418" w:right="1134" w:bottom="1418" w:left="1701"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35" w:rsidRDefault="00C00135">
      <w:r>
        <w:separator/>
      </w:r>
    </w:p>
  </w:endnote>
  <w:endnote w:type="continuationSeparator" w:id="0">
    <w:p w:rsidR="00C00135" w:rsidRDefault="00C0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80" w:rsidRDefault="00892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80" w:rsidRDefault="008927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80" w:rsidRDefault="00892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35" w:rsidRDefault="00C00135">
      <w:r>
        <w:separator/>
      </w:r>
    </w:p>
  </w:footnote>
  <w:footnote w:type="continuationSeparator" w:id="0">
    <w:p w:rsidR="00C00135" w:rsidRDefault="00C0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80" w:rsidRDefault="00892780">
    <w:pPr>
      <w:pStyle w:val="Pi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80" w:rsidRDefault="00892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Loetelu"/>
      <w:suff w:val="space"/>
      <w:lvlText w:val="%1."/>
      <w:lvlJc w:val="left"/>
      <w:pPr>
        <w:tabs>
          <w:tab w:val="num" w:pos="0"/>
        </w:tabs>
        <w:ind w:left="993"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87"/>
    <w:rsid w:val="00005C9A"/>
    <w:rsid w:val="00034487"/>
    <w:rsid w:val="00043FE9"/>
    <w:rsid w:val="0004641E"/>
    <w:rsid w:val="00083AB7"/>
    <w:rsid w:val="000D56F2"/>
    <w:rsid w:val="00102485"/>
    <w:rsid w:val="00176088"/>
    <w:rsid w:val="001A1276"/>
    <w:rsid w:val="001F56A9"/>
    <w:rsid w:val="00262E57"/>
    <w:rsid w:val="00266A16"/>
    <w:rsid w:val="002727E9"/>
    <w:rsid w:val="00287C24"/>
    <w:rsid w:val="002D0403"/>
    <w:rsid w:val="002E3666"/>
    <w:rsid w:val="002E5C5C"/>
    <w:rsid w:val="00306C86"/>
    <w:rsid w:val="00316DAD"/>
    <w:rsid w:val="00382F20"/>
    <w:rsid w:val="003E2AA6"/>
    <w:rsid w:val="004510FB"/>
    <w:rsid w:val="004866A2"/>
    <w:rsid w:val="004D7BB1"/>
    <w:rsid w:val="0051132D"/>
    <w:rsid w:val="00522D70"/>
    <w:rsid w:val="005237BC"/>
    <w:rsid w:val="005664A5"/>
    <w:rsid w:val="0057572C"/>
    <w:rsid w:val="00587BFC"/>
    <w:rsid w:val="005B364B"/>
    <w:rsid w:val="005D112B"/>
    <w:rsid w:val="005D584A"/>
    <w:rsid w:val="005F3FB7"/>
    <w:rsid w:val="0060097D"/>
    <w:rsid w:val="0064096A"/>
    <w:rsid w:val="00654C96"/>
    <w:rsid w:val="006754B8"/>
    <w:rsid w:val="006959FF"/>
    <w:rsid w:val="006F5041"/>
    <w:rsid w:val="00713961"/>
    <w:rsid w:val="00760771"/>
    <w:rsid w:val="0077042B"/>
    <w:rsid w:val="0078056F"/>
    <w:rsid w:val="00824559"/>
    <w:rsid w:val="00847327"/>
    <w:rsid w:val="00856916"/>
    <w:rsid w:val="008846B8"/>
    <w:rsid w:val="00892780"/>
    <w:rsid w:val="008D410F"/>
    <w:rsid w:val="008D4EF7"/>
    <w:rsid w:val="0091664C"/>
    <w:rsid w:val="00945CC5"/>
    <w:rsid w:val="00971292"/>
    <w:rsid w:val="00997C3B"/>
    <w:rsid w:val="009B0043"/>
    <w:rsid w:val="009E4BA6"/>
    <w:rsid w:val="009F32B2"/>
    <w:rsid w:val="009F55FE"/>
    <w:rsid w:val="00A0393C"/>
    <w:rsid w:val="00A54012"/>
    <w:rsid w:val="00A83B69"/>
    <w:rsid w:val="00AD544E"/>
    <w:rsid w:val="00AE6FE4"/>
    <w:rsid w:val="00B22143"/>
    <w:rsid w:val="00B338BB"/>
    <w:rsid w:val="00B35537"/>
    <w:rsid w:val="00B40865"/>
    <w:rsid w:val="00B87E06"/>
    <w:rsid w:val="00BF4557"/>
    <w:rsid w:val="00C00135"/>
    <w:rsid w:val="00C84AF1"/>
    <w:rsid w:val="00CA4ABE"/>
    <w:rsid w:val="00CF296D"/>
    <w:rsid w:val="00D1783B"/>
    <w:rsid w:val="00D20134"/>
    <w:rsid w:val="00D57BE1"/>
    <w:rsid w:val="00E253AE"/>
    <w:rsid w:val="00E615EE"/>
    <w:rsid w:val="00E9646B"/>
    <w:rsid w:val="00E96842"/>
    <w:rsid w:val="00EF1A6D"/>
    <w:rsid w:val="00EF67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A4DC02A-6E65-4E3C-AADA-0DF73C0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Liguvaikefont1">
    <w:name w:val="Lõigu vaikefont1"/>
  </w:style>
  <w:style w:type="character" w:styleId="Lehekljenumber">
    <w:name w:val="page number"/>
    <w:basedOn w:val="Liguvaikefont1"/>
  </w:style>
  <w:style w:type="character" w:customStyle="1" w:styleId="DokumendiplaanMrk">
    <w:name w:val="Dokumendiplaan Märk"/>
    <w:rPr>
      <w:rFonts w:ascii="Tahoma" w:hAnsi="Tahoma" w:cs="Tahoma"/>
      <w:sz w:val="16"/>
      <w:szCs w:val="16"/>
    </w:rPr>
  </w:style>
  <w:style w:type="character" w:customStyle="1" w:styleId="PisMrk">
    <w:name w:val="Päis Märk"/>
    <w:rPr>
      <w:sz w:val="24"/>
      <w:szCs w:val="24"/>
    </w:rPr>
  </w:style>
  <w:style w:type="character" w:customStyle="1" w:styleId="JutumullitekstMrk">
    <w:name w:val="Jutumullitekst Märk"/>
    <w:rPr>
      <w:rFonts w:ascii="Tahoma" w:hAnsi="Tahoma" w:cs="Tahoma"/>
      <w:sz w:val="16"/>
      <w:szCs w:val="16"/>
    </w:rPr>
  </w:style>
  <w:style w:type="character" w:customStyle="1" w:styleId="tyhik">
    <w:name w:val="tyhik"/>
  </w:style>
  <w:style w:type="character" w:styleId="Rhutus">
    <w:name w:val="Emphasis"/>
    <w:qFormat/>
    <w:rPr>
      <w:b/>
      <w:bCs/>
      <w:i w:val="0"/>
      <w:iCs w:val="0"/>
    </w:rPr>
  </w:style>
  <w:style w:type="character" w:styleId="Hperlink">
    <w:name w:val="Hyperlink"/>
    <w:rPr>
      <w:color w:val="0000FF"/>
      <w:u w:val="single"/>
    </w:rPr>
  </w:style>
  <w:style w:type="character" w:customStyle="1" w:styleId="Kommentaariviide1">
    <w:name w:val="Kommentaari viide1"/>
    <w:rPr>
      <w:sz w:val="16"/>
      <w:szCs w:val="16"/>
    </w:rPr>
  </w:style>
  <w:style w:type="character" w:customStyle="1" w:styleId="KommentaaritekstMrk">
    <w:name w:val="Kommentaari tekst Märk"/>
  </w:style>
  <w:style w:type="character" w:customStyle="1" w:styleId="KommentaariteemaMrk">
    <w:name w:val="Kommentaari teema Märk"/>
    <w:rPr>
      <w:b/>
      <w:bCs/>
    </w:rPr>
  </w:style>
  <w:style w:type="character" w:customStyle="1" w:styleId="KehatekstMrk">
    <w:name w:val="Kehatekst Märk"/>
    <w:rPr>
      <w:sz w:val="28"/>
    </w:rPr>
  </w:style>
  <w:style w:type="character" w:customStyle="1" w:styleId="NumberingSymbols">
    <w:name w:val="Numbering Symbols"/>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pPr>
      <w:jc w:val="both"/>
    </w:pPr>
    <w:rPr>
      <w:sz w:val="28"/>
      <w:szCs w:val="20"/>
    </w:rPr>
  </w:style>
  <w:style w:type="paragraph" w:styleId="Loend">
    <w:name w:val="List"/>
    <w:basedOn w:val="Kehatekst"/>
    <w:rPr>
      <w:rFonts w:cs="Mangal"/>
    </w:rPr>
  </w:style>
  <w:style w:type="paragraph" w:customStyle="1" w:styleId="Pealdis1">
    <w:name w:val="Pealdis1"/>
    <w:basedOn w:val="Normaallaad"/>
    <w:pPr>
      <w:suppressLineNumbers/>
      <w:spacing w:before="120" w:after="120"/>
    </w:pPr>
    <w:rPr>
      <w:rFonts w:cs="Mangal"/>
      <w:i/>
      <w:iCs/>
    </w:rPr>
  </w:style>
  <w:style w:type="paragraph" w:customStyle="1" w:styleId="Index">
    <w:name w:val="Index"/>
    <w:basedOn w:val="Normaallaad"/>
    <w:pPr>
      <w:suppressLineNumbers/>
    </w:pPr>
    <w:rPr>
      <w:rFonts w:cs="Mangal"/>
    </w:rPr>
  </w:style>
  <w:style w:type="paragraph" w:customStyle="1" w:styleId="Pea">
    <w:name w:val="Pea"/>
    <w:basedOn w:val="Kehatekst"/>
    <w:pPr>
      <w:ind w:left="-1134"/>
      <w:jc w:val="center"/>
    </w:pPr>
  </w:style>
  <w:style w:type="paragraph" w:customStyle="1" w:styleId="Loetelu">
    <w:name w:val="Loetelu"/>
    <w:basedOn w:val="Kehatekst"/>
    <w:pPr>
      <w:numPr>
        <w:numId w:val="2"/>
      </w:numPr>
      <w:spacing w:before="120"/>
    </w:pPr>
    <w:rPr>
      <w:sz w:val="24"/>
    </w:rPr>
  </w:style>
  <w:style w:type="paragraph" w:customStyle="1" w:styleId="Bodyt">
    <w:name w:val="Bodyt"/>
    <w:basedOn w:val="Normaallaad"/>
    <w:pPr>
      <w:tabs>
        <w:tab w:val="num" w:pos="0"/>
      </w:tabs>
      <w:ind w:left="993"/>
      <w:jc w:val="both"/>
    </w:pPr>
    <w:rPr>
      <w:szCs w:val="20"/>
    </w:rPr>
  </w:style>
  <w:style w:type="paragraph" w:styleId="Jalus">
    <w:name w:val="footer"/>
    <w:basedOn w:val="Normaallaad"/>
    <w:pPr>
      <w:tabs>
        <w:tab w:val="center" w:pos="4320"/>
        <w:tab w:val="right" w:pos="8640"/>
      </w:tabs>
    </w:pPr>
    <w:rPr>
      <w:color w:val="808080"/>
    </w:rPr>
  </w:style>
  <w:style w:type="paragraph" w:styleId="Pis">
    <w:name w:val="header"/>
    <w:basedOn w:val="Normaallaad"/>
    <w:pPr>
      <w:tabs>
        <w:tab w:val="center" w:pos="4320"/>
        <w:tab w:val="right" w:pos="8640"/>
      </w:tabs>
    </w:pPr>
  </w:style>
  <w:style w:type="paragraph" w:customStyle="1" w:styleId="Dokumendiplaan1">
    <w:name w:val="Dokumendiplaan1"/>
    <w:basedOn w:val="Normaallaad"/>
    <w:rPr>
      <w:rFonts w:ascii="Tahoma" w:hAnsi="Tahoma" w:cs="Tahoma"/>
      <w:sz w:val="16"/>
      <w:szCs w:val="16"/>
    </w:rPr>
  </w:style>
  <w:style w:type="paragraph" w:styleId="Jutumullitekst">
    <w:name w:val="Balloon Text"/>
    <w:basedOn w:val="Normaallaad"/>
    <w:rPr>
      <w:rFonts w:ascii="Tahoma" w:hAnsi="Tahoma" w:cs="Tahoma"/>
      <w:sz w:val="16"/>
      <w:szCs w:val="16"/>
    </w:rPr>
  </w:style>
  <w:style w:type="paragraph" w:customStyle="1" w:styleId="Kommentaaritekst1">
    <w:name w:val="Kommentaari tekst1"/>
    <w:basedOn w:val="Normaallaad"/>
    <w:rPr>
      <w:sz w:val="20"/>
      <w:szCs w:val="20"/>
    </w:rPr>
  </w:style>
  <w:style w:type="paragraph" w:styleId="Kommentaariteema">
    <w:name w:val="annotation subject"/>
    <w:basedOn w:val="Kommentaaritekst1"/>
    <w:next w:val="Kommentaaritekst1"/>
    <w:rPr>
      <w:b/>
      <w:bCs/>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Keha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14139-6306-4257-93FD-7EBDD9F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1515</Words>
  <Characters>8792</Characters>
  <Application>Microsoft Office Word</Application>
  <DocSecurity>0</DocSecurity>
  <Lines>73</Lines>
  <Paragraphs>20</Paragraphs>
  <ScaleCrop>false</ScaleCrop>
  <HeadingPairs>
    <vt:vector size="2" baseType="variant">
      <vt:variant>
        <vt:lpstr>Pealkiri</vt:lpstr>
      </vt:variant>
      <vt:variant>
        <vt:i4>1</vt:i4>
      </vt:variant>
    </vt:vector>
  </HeadingPairs>
  <TitlesOfParts>
    <vt:vector size="1" baseType="lpstr">
      <vt:lpstr>VIIMSI VALLAVALITSUS</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OliverA</dc:creator>
  <cp:keywords/>
  <cp:lastModifiedBy>Birgit Mägi</cp:lastModifiedBy>
  <cp:revision>6</cp:revision>
  <cp:lastPrinted>2017-05-04T12:58:00Z</cp:lastPrinted>
  <dcterms:created xsi:type="dcterms:W3CDTF">2017-05-02T11:34:00Z</dcterms:created>
  <dcterms:modified xsi:type="dcterms:W3CDTF">2017-05-09T07:56:00Z</dcterms:modified>
</cp:coreProperties>
</file>