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209D" w:rsidRPr="0046209D" w:rsidRDefault="0046209D" w:rsidP="0046209D">
      <w:pPr>
        <w:jc w:val="right"/>
        <w:rPr>
          <w:b/>
        </w:rPr>
      </w:pPr>
      <w:r w:rsidRPr="0046209D">
        <w:rPr>
          <w:b/>
        </w:rPr>
        <w:t>Pkp.</w:t>
      </w:r>
      <w:r w:rsidR="00A73164">
        <w:rPr>
          <w:b/>
        </w:rPr>
        <w:t xml:space="preserve"> 9</w:t>
      </w:r>
    </w:p>
    <w:p w:rsidR="0046209D" w:rsidRPr="0046209D" w:rsidRDefault="0046209D" w:rsidP="0046209D">
      <w:pPr>
        <w:jc w:val="right"/>
        <w:rPr>
          <w:b/>
        </w:rPr>
      </w:pPr>
      <w:r w:rsidRPr="0046209D">
        <w:rPr>
          <w:b/>
        </w:rPr>
        <w:t>Eelnõu nr.</w:t>
      </w:r>
      <w:r w:rsidR="00A73164">
        <w:rPr>
          <w:b/>
        </w:rPr>
        <w:t xml:space="preserve"> 8</w:t>
      </w:r>
      <w:bookmarkStart w:id="0" w:name="_GoBack"/>
      <w:bookmarkEnd w:id="0"/>
    </w:p>
    <w:tbl>
      <w:tblPr>
        <w:tblW w:w="9288" w:type="dxa"/>
        <w:tblLayout w:type="fixed"/>
        <w:tblLook w:val="0000" w:firstRow="0" w:lastRow="0" w:firstColumn="0" w:lastColumn="0" w:noHBand="0" w:noVBand="0"/>
      </w:tblPr>
      <w:tblGrid>
        <w:gridCol w:w="5148"/>
        <w:gridCol w:w="772"/>
        <w:gridCol w:w="3368"/>
      </w:tblGrid>
      <w:tr w:rsidR="00B96601">
        <w:trPr>
          <w:cantSplit/>
        </w:trPr>
        <w:tc>
          <w:tcPr>
            <w:tcW w:w="9288" w:type="dxa"/>
            <w:gridSpan w:val="3"/>
          </w:tcPr>
          <w:p w:rsidR="00B96601" w:rsidRPr="001A1129" w:rsidRDefault="00B96601">
            <w:pPr>
              <w:pStyle w:val="Pea"/>
              <w:ind w:left="0"/>
              <w:rPr>
                <w:noProof/>
              </w:rPr>
            </w:pPr>
            <w:r w:rsidRPr="001A1129">
              <w:rPr>
                <w:noProof/>
              </w:rPr>
              <w:t>VIIMSI VALLAVOLIKOGU</w:t>
            </w:r>
          </w:p>
        </w:tc>
      </w:tr>
      <w:tr w:rsidR="00B96601">
        <w:trPr>
          <w:cantSplit/>
        </w:trPr>
        <w:tc>
          <w:tcPr>
            <w:tcW w:w="9288" w:type="dxa"/>
            <w:gridSpan w:val="3"/>
          </w:tcPr>
          <w:p w:rsidR="00B96601" w:rsidRDefault="00B96601">
            <w:pPr>
              <w:pStyle w:val="Kehatekst"/>
              <w:tabs>
                <w:tab w:val="left" w:pos="6521"/>
              </w:tabs>
              <w:jc w:val="center"/>
              <w:rPr>
                <w:rFonts w:ascii="Arial" w:hAnsi="Arial" w:cs="Arial"/>
                <w:b/>
                <w:noProof/>
              </w:rPr>
            </w:pPr>
          </w:p>
        </w:tc>
      </w:tr>
      <w:tr w:rsidR="00B96601">
        <w:trPr>
          <w:cantSplit/>
        </w:trPr>
        <w:tc>
          <w:tcPr>
            <w:tcW w:w="9288" w:type="dxa"/>
            <w:gridSpan w:val="3"/>
          </w:tcPr>
          <w:p w:rsidR="00B96601" w:rsidRPr="001A1129" w:rsidRDefault="00B96601">
            <w:pPr>
              <w:pStyle w:val="Pea"/>
              <w:ind w:left="0"/>
              <w:rPr>
                <w:b/>
                <w:bCs/>
                <w:noProof/>
              </w:rPr>
            </w:pPr>
            <w:r w:rsidRPr="001A1129">
              <w:rPr>
                <w:b/>
                <w:bCs/>
                <w:noProof/>
              </w:rPr>
              <w:t>OTSUS</w:t>
            </w:r>
          </w:p>
        </w:tc>
      </w:tr>
      <w:tr w:rsidR="00B96601">
        <w:trPr>
          <w:cantSplit/>
        </w:trPr>
        <w:tc>
          <w:tcPr>
            <w:tcW w:w="9288" w:type="dxa"/>
            <w:gridSpan w:val="3"/>
          </w:tcPr>
          <w:p w:rsidR="00B96601" w:rsidRDefault="00B96601">
            <w:pPr>
              <w:pStyle w:val="Kehatekst"/>
              <w:tabs>
                <w:tab w:val="left" w:pos="6521"/>
              </w:tabs>
              <w:jc w:val="left"/>
              <w:rPr>
                <w:rFonts w:ascii="Arial" w:hAnsi="Arial" w:cs="Arial"/>
                <w:noProof/>
              </w:rPr>
            </w:pPr>
          </w:p>
        </w:tc>
      </w:tr>
      <w:tr w:rsidR="00B96601">
        <w:trPr>
          <w:cantSplit/>
        </w:trPr>
        <w:tc>
          <w:tcPr>
            <w:tcW w:w="9288" w:type="dxa"/>
            <w:gridSpan w:val="3"/>
          </w:tcPr>
          <w:p w:rsidR="00B96601" w:rsidRDefault="00B96601">
            <w:pPr>
              <w:pStyle w:val="Kehatekst"/>
              <w:tabs>
                <w:tab w:val="left" w:pos="6521"/>
              </w:tabs>
              <w:jc w:val="left"/>
              <w:rPr>
                <w:rFonts w:ascii="Arial" w:hAnsi="Arial" w:cs="Arial"/>
              </w:rPr>
            </w:pPr>
          </w:p>
        </w:tc>
      </w:tr>
      <w:tr w:rsidR="00B96601">
        <w:trPr>
          <w:cantSplit/>
        </w:trPr>
        <w:tc>
          <w:tcPr>
            <w:tcW w:w="5920" w:type="dxa"/>
            <w:gridSpan w:val="2"/>
          </w:tcPr>
          <w:p w:rsidR="00B96601" w:rsidRDefault="00B96601">
            <w:pPr>
              <w:pStyle w:val="Kehatekst"/>
              <w:tabs>
                <w:tab w:val="left" w:pos="6521"/>
              </w:tabs>
              <w:jc w:val="left"/>
            </w:pPr>
            <w:r>
              <w:t>Viimsi</w:t>
            </w:r>
          </w:p>
        </w:tc>
        <w:tc>
          <w:tcPr>
            <w:tcW w:w="3368" w:type="dxa"/>
          </w:tcPr>
          <w:p w:rsidR="00B96601" w:rsidRDefault="00B96601" w:rsidP="00B81251">
            <w:pPr>
              <w:pStyle w:val="Kehatekst"/>
              <w:tabs>
                <w:tab w:val="left" w:pos="6521"/>
              </w:tabs>
              <w:jc w:val="left"/>
            </w:pPr>
            <w:r>
              <w:t xml:space="preserve">       </w:t>
            </w:r>
            <w:r w:rsidR="009C1907">
              <w:t>30</w:t>
            </w:r>
            <w:r>
              <w:t>.</w:t>
            </w:r>
            <w:r w:rsidR="003B0762">
              <w:t xml:space="preserve"> </w:t>
            </w:r>
            <w:r w:rsidR="00B81251">
              <w:t>jaanuar</w:t>
            </w:r>
            <w:r w:rsidR="001A1129">
              <w:t xml:space="preserve"> </w:t>
            </w:r>
            <w:r w:rsidR="00207834">
              <w:t>201</w:t>
            </w:r>
            <w:r w:rsidR="009C1907">
              <w:t>8</w:t>
            </w:r>
            <w:r>
              <w:t xml:space="preserve"> nr  </w:t>
            </w:r>
          </w:p>
        </w:tc>
      </w:tr>
      <w:tr w:rsidR="00B96601">
        <w:trPr>
          <w:cantSplit/>
        </w:trPr>
        <w:tc>
          <w:tcPr>
            <w:tcW w:w="9288" w:type="dxa"/>
            <w:gridSpan w:val="3"/>
          </w:tcPr>
          <w:p w:rsidR="00B96601" w:rsidRDefault="00B96601">
            <w:pPr>
              <w:pStyle w:val="Kehatekst"/>
              <w:jc w:val="left"/>
            </w:pPr>
          </w:p>
        </w:tc>
      </w:tr>
      <w:tr w:rsidR="00B96601">
        <w:trPr>
          <w:cantSplit/>
        </w:trPr>
        <w:tc>
          <w:tcPr>
            <w:tcW w:w="9288" w:type="dxa"/>
            <w:gridSpan w:val="3"/>
          </w:tcPr>
          <w:p w:rsidR="00B96601" w:rsidRDefault="00B96601">
            <w:pPr>
              <w:pStyle w:val="Kehatekst"/>
              <w:tabs>
                <w:tab w:val="left" w:pos="6521"/>
              </w:tabs>
              <w:jc w:val="left"/>
            </w:pPr>
          </w:p>
        </w:tc>
      </w:tr>
      <w:tr w:rsidR="00B96601">
        <w:trPr>
          <w:cantSplit/>
        </w:trPr>
        <w:tc>
          <w:tcPr>
            <w:tcW w:w="5148" w:type="dxa"/>
          </w:tcPr>
          <w:p w:rsidR="00B96601" w:rsidRDefault="009C1907" w:rsidP="00E6013E">
            <w:pPr>
              <w:pStyle w:val="Kehatekst"/>
              <w:tabs>
                <w:tab w:val="left" w:pos="6521"/>
              </w:tabs>
              <w:jc w:val="left"/>
            </w:pPr>
            <w:r>
              <w:t>MTÜ</w:t>
            </w:r>
            <w:r w:rsidR="009406B8">
              <w:t>-ga Teadmiskeskus Collegium Eruditionis</w:t>
            </w:r>
          </w:p>
        </w:tc>
        <w:tc>
          <w:tcPr>
            <w:tcW w:w="4140" w:type="dxa"/>
            <w:gridSpan w:val="2"/>
          </w:tcPr>
          <w:p w:rsidR="00B96601" w:rsidRDefault="00B96601">
            <w:pPr>
              <w:pStyle w:val="Kehatekst"/>
              <w:tabs>
                <w:tab w:val="left" w:pos="6521"/>
              </w:tabs>
              <w:jc w:val="left"/>
            </w:pPr>
          </w:p>
        </w:tc>
      </w:tr>
      <w:tr w:rsidR="00B96601">
        <w:trPr>
          <w:cantSplit/>
        </w:trPr>
        <w:tc>
          <w:tcPr>
            <w:tcW w:w="9288" w:type="dxa"/>
            <w:gridSpan w:val="3"/>
          </w:tcPr>
          <w:p w:rsidR="00B96601" w:rsidRDefault="009406B8">
            <w:pPr>
              <w:pStyle w:val="Kehatekst"/>
              <w:tabs>
                <w:tab w:val="left" w:pos="6521"/>
              </w:tabs>
              <w:jc w:val="left"/>
            </w:pPr>
            <w:r>
              <w:t xml:space="preserve">koostöölepingu sõlmimiseks volituse andmine </w:t>
            </w:r>
          </w:p>
        </w:tc>
      </w:tr>
      <w:tr w:rsidR="00B96601">
        <w:trPr>
          <w:cantSplit/>
        </w:trPr>
        <w:tc>
          <w:tcPr>
            <w:tcW w:w="9288" w:type="dxa"/>
            <w:gridSpan w:val="3"/>
          </w:tcPr>
          <w:p w:rsidR="00B96601" w:rsidRDefault="00B96601" w:rsidP="00D240A5">
            <w:pPr>
              <w:pStyle w:val="Kehatekst"/>
              <w:tabs>
                <w:tab w:val="left" w:pos="6521"/>
              </w:tabs>
            </w:pPr>
          </w:p>
        </w:tc>
      </w:tr>
      <w:tr w:rsidR="00776F1D">
        <w:trPr>
          <w:cantSplit/>
        </w:trPr>
        <w:tc>
          <w:tcPr>
            <w:tcW w:w="9288" w:type="dxa"/>
            <w:gridSpan w:val="3"/>
          </w:tcPr>
          <w:p w:rsidR="00776F1D" w:rsidRDefault="00776F1D" w:rsidP="00D240A5">
            <w:pPr>
              <w:pStyle w:val="Kehatekst"/>
              <w:tabs>
                <w:tab w:val="left" w:pos="6521"/>
              </w:tabs>
            </w:pPr>
          </w:p>
        </w:tc>
      </w:tr>
      <w:tr w:rsidR="00BF2EB4" w:rsidRPr="00BF2EB4">
        <w:trPr>
          <w:cantSplit/>
        </w:trPr>
        <w:tc>
          <w:tcPr>
            <w:tcW w:w="9288" w:type="dxa"/>
            <w:gridSpan w:val="3"/>
          </w:tcPr>
          <w:p w:rsidR="009406B8" w:rsidRDefault="00CB0232" w:rsidP="00D240A5">
            <w:pPr>
              <w:pStyle w:val="Kehatekst"/>
              <w:tabs>
                <w:tab w:val="left" w:pos="6521"/>
              </w:tabs>
              <w:rPr>
                <w:szCs w:val="24"/>
              </w:rPr>
            </w:pPr>
            <w:r>
              <w:rPr>
                <w:szCs w:val="24"/>
              </w:rPr>
              <w:t>Võttes aluseks k</w:t>
            </w:r>
            <w:r w:rsidR="009406B8">
              <w:rPr>
                <w:szCs w:val="24"/>
              </w:rPr>
              <w:t>ohaliku omavalitsuse korraldu</w:t>
            </w:r>
            <w:r w:rsidR="00D835B7">
              <w:rPr>
                <w:szCs w:val="24"/>
              </w:rPr>
              <w:t>se seaduse § 6 lõike 3 punkti 2</w:t>
            </w:r>
            <w:r>
              <w:rPr>
                <w:szCs w:val="24"/>
              </w:rPr>
              <w:t>, § 35 lõike 5</w:t>
            </w:r>
            <w:r w:rsidR="00D835B7">
              <w:rPr>
                <w:szCs w:val="24"/>
              </w:rPr>
              <w:t xml:space="preserve"> </w:t>
            </w:r>
            <w:r>
              <w:rPr>
                <w:szCs w:val="24"/>
              </w:rPr>
              <w:t>ja Viimsi valla põ</w:t>
            </w:r>
            <w:r w:rsidR="0046209D">
              <w:rPr>
                <w:szCs w:val="24"/>
              </w:rPr>
              <w:t>himääruse § 127 lõike 2 punkt 1, Viimsi Vallavolikogu</w:t>
            </w:r>
          </w:p>
          <w:p w:rsidR="00B81251" w:rsidRDefault="00B81251" w:rsidP="00D240A5">
            <w:pPr>
              <w:pStyle w:val="Kehatekst"/>
              <w:tabs>
                <w:tab w:val="left" w:pos="6521"/>
              </w:tabs>
              <w:rPr>
                <w:szCs w:val="24"/>
              </w:rPr>
            </w:pPr>
          </w:p>
          <w:p w:rsidR="00CE5DDE" w:rsidRPr="00BF2EB4" w:rsidRDefault="0046209D" w:rsidP="00D240A5">
            <w:pPr>
              <w:pStyle w:val="Kehatekst"/>
              <w:tabs>
                <w:tab w:val="left" w:pos="6521"/>
              </w:tabs>
              <w:rPr>
                <w:sz w:val="22"/>
              </w:rPr>
            </w:pPr>
            <w:r>
              <w:rPr>
                <w:sz w:val="22"/>
              </w:rPr>
              <w:t>o t s u s t a b:</w:t>
            </w:r>
          </w:p>
        </w:tc>
      </w:tr>
      <w:tr w:rsidR="00B96601">
        <w:trPr>
          <w:cantSplit/>
        </w:trPr>
        <w:tc>
          <w:tcPr>
            <w:tcW w:w="9288" w:type="dxa"/>
            <w:gridSpan w:val="3"/>
          </w:tcPr>
          <w:p w:rsidR="00B96601" w:rsidRDefault="00B96601">
            <w:pPr>
              <w:pStyle w:val="Kehatekst"/>
              <w:tabs>
                <w:tab w:val="left" w:pos="6521"/>
              </w:tabs>
              <w:jc w:val="left"/>
            </w:pPr>
          </w:p>
        </w:tc>
      </w:tr>
    </w:tbl>
    <w:p w:rsidR="009406B8" w:rsidRDefault="009406B8" w:rsidP="003D3128">
      <w:pPr>
        <w:pStyle w:val="Loetelu"/>
        <w:numPr>
          <w:ilvl w:val="0"/>
          <w:numId w:val="2"/>
        </w:numPr>
        <w:tabs>
          <w:tab w:val="clear" w:pos="720"/>
        </w:tabs>
        <w:ind w:left="360"/>
      </w:pPr>
      <w:r>
        <w:t>Kiita heaks MTÜ-ga Teadmiskeskus Collegium Eruditionis ning Viimsi valla vahelise koostöölepingu projekt (lisa)</w:t>
      </w:r>
      <w:r w:rsidR="00543DF9">
        <w:t>.</w:t>
      </w:r>
    </w:p>
    <w:p w:rsidR="003F0B32" w:rsidRDefault="009406B8" w:rsidP="003D3128">
      <w:pPr>
        <w:pStyle w:val="Loetelu"/>
        <w:numPr>
          <w:ilvl w:val="0"/>
          <w:numId w:val="2"/>
        </w:numPr>
        <w:tabs>
          <w:tab w:val="clear" w:pos="720"/>
        </w:tabs>
        <w:ind w:left="360"/>
      </w:pPr>
      <w:r>
        <w:t>Volitada Viimsi vallavanemat Viimsi valla nimel allkirjastama punktis 1 nimetatud koostöölepingut</w:t>
      </w:r>
      <w:r w:rsidR="00DB0652">
        <w:t>.</w:t>
      </w:r>
      <w:r w:rsidR="00E6013E">
        <w:rPr>
          <w:highlight w:val="yellow"/>
        </w:rPr>
        <w:t xml:space="preserve"> </w:t>
      </w:r>
      <w:r w:rsidR="003F0B32">
        <w:t xml:space="preserve"> </w:t>
      </w:r>
    </w:p>
    <w:p w:rsidR="009406B8" w:rsidRDefault="009406B8" w:rsidP="003D3128">
      <w:pPr>
        <w:pStyle w:val="Loetelu"/>
        <w:numPr>
          <w:ilvl w:val="0"/>
          <w:numId w:val="2"/>
        </w:numPr>
        <w:tabs>
          <w:tab w:val="clear" w:pos="720"/>
        </w:tabs>
        <w:ind w:left="360"/>
      </w:pPr>
      <w:r>
        <w:t xml:space="preserve">Anda volitused </w:t>
      </w:r>
      <w:r w:rsidR="00D67BDB">
        <w:t>vallavanemale sõlmitava koostöölepingu muutmise</w:t>
      </w:r>
      <w:r w:rsidR="00CB0232">
        <w:t>ks</w:t>
      </w:r>
      <w:r w:rsidR="00D67BDB">
        <w:t xml:space="preserve"> </w:t>
      </w:r>
      <w:r w:rsidR="00CB0232">
        <w:t>lepingute</w:t>
      </w:r>
      <w:r w:rsidR="00D67BDB">
        <w:t xml:space="preserve"> sõlmimiseks tingimusel, et lepingu muutmise tulemusel ei võ</w:t>
      </w:r>
      <w:r w:rsidR="00CB0232">
        <w:t>e</w:t>
      </w:r>
      <w:r w:rsidR="00D67BDB">
        <w:t xml:space="preserve">ta vallale täiendavaid rahalisi kohustusi, mida eelarves ei ole ettenähtud. Sellisel juhul otsustab </w:t>
      </w:r>
      <w:r w:rsidR="00CB0232">
        <w:t>koostöö</w:t>
      </w:r>
      <w:r w:rsidR="00D67BDB">
        <w:t xml:space="preserve">lepingu muutmise </w:t>
      </w:r>
      <w:r w:rsidR="00CB0232">
        <w:t xml:space="preserve">lepingu </w:t>
      </w:r>
      <w:r w:rsidR="00D67BDB">
        <w:t xml:space="preserve">sõlmimise volikogu. </w:t>
      </w:r>
    </w:p>
    <w:p w:rsidR="003D3128" w:rsidRDefault="007C2B50" w:rsidP="003D3128">
      <w:pPr>
        <w:pStyle w:val="Loetelu"/>
        <w:numPr>
          <w:ilvl w:val="0"/>
          <w:numId w:val="2"/>
        </w:numPr>
        <w:tabs>
          <w:tab w:val="clear" w:pos="720"/>
        </w:tabs>
        <w:ind w:left="360"/>
      </w:pPr>
      <w:r>
        <w:t xml:space="preserve">Otsus jõustub teatavakstegemisest. </w:t>
      </w:r>
    </w:p>
    <w:p w:rsidR="00AA4F9D" w:rsidRDefault="007C2B50" w:rsidP="003D3128">
      <w:pPr>
        <w:pStyle w:val="Loetelu"/>
        <w:numPr>
          <w:ilvl w:val="0"/>
          <w:numId w:val="2"/>
        </w:numPr>
        <w:tabs>
          <w:tab w:val="clear" w:pos="720"/>
        </w:tabs>
        <w:ind w:left="360"/>
      </w:pPr>
      <w:r>
        <w:t xml:space="preserve">Otsust on võimalik </w:t>
      </w:r>
      <w:r w:rsidRPr="003D3128">
        <w:rPr>
          <w:spacing w:val="-4"/>
        </w:rPr>
        <w:t>vaidlustada Tallinna Halduskohtus (Pärnu mnt 7, Tallinn) või esitada vaie Viimsi Vallavolikogule 30 päeva jooksul arvates korralduse teatavakstegemisest</w:t>
      </w:r>
      <w:r w:rsidR="00627FFC" w:rsidRPr="003D3128">
        <w:rPr>
          <w:spacing w:val="-4"/>
        </w:rPr>
        <w:t>.</w:t>
      </w:r>
    </w:p>
    <w:tbl>
      <w:tblPr>
        <w:tblW w:w="9288" w:type="dxa"/>
        <w:tblLayout w:type="fixed"/>
        <w:tblLook w:val="0000" w:firstRow="0" w:lastRow="0" w:firstColumn="0" w:lastColumn="0" w:noHBand="0" w:noVBand="0"/>
      </w:tblPr>
      <w:tblGrid>
        <w:gridCol w:w="6001"/>
        <w:gridCol w:w="3287"/>
      </w:tblGrid>
      <w:tr w:rsidR="00B96601">
        <w:trPr>
          <w:cantSplit/>
        </w:trPr>
        <w:tc>
          <w:tcPr>
            <w:tcW w:w="9288" w:type="dxa"/>
            <w:gridSpan w:val="2"/>
          </w:tcPr>
          <w:p w:rsidR="00B96601" w:rsidRDefault="00B96601" w:rsidP="00AA4F9D">
            <w:pPr>
              <w:pStyle w:val="Kehatekst"/>
              <w:tabs>
                <w:tab w:val="left" w:pos="6521"/>
              </w:tabs>
              <w:jc w:val="left"/>
            </w:pPr>
          </w:p>
          <w:p w:rsidR="000E73B5" w:rsidRDefault="000E73B5" w:rsidP="00AA4F9D">
            <w:pPr>
              <w:pStyle w:val="Kehatekst"/>
              <w:tabs>
                <w:tab w:val="left" w:pos="6521"/>
              </w:tabs>
              <w:jc w:val="left"/>
            </w:pPr>
          </w:p>
          <w:p w:rsidR="000E73B5" w:rsidRDefault="000E73B5" w:rsidP="00AA4F9D">
            <w:pPr>
              <w:pStyle w:val="Kehatekst"/>
              <w:tabs>
                <w:tab w:val="left" w:pos="6521"/>
              </w:tabs>
              <w:jc w:val="left"/>
            </w:pPr>
          </w:p>
          <w:p w:rsidR="000E73B5" w:rsidRDefault="000E73B5" w:rsidP="00AA4F9D">
            <w:pPr>
              <w:pStyle w:val="Kehatekst"/>
              <w:tabs>
                <w:tab w:val="left" w:pos="6521"/>
              </w:tabs>
              <w:jc w:val="left"/>
            </w:pPr>
          </w:p>
        </w:tc>
      </w:tr>
      <w:tr w:rsidR="000E73B5">
        <w:trPr>
          <w:cantSplit/>
        </w:trPr>
        <w:tc>
          <w:tcPr>
            <w:tcW w:w="9288" w:type="dxa"/>
            <w:gridSpan w:val="2"/>
          </w:tcPr>
          <w:tbl>
            <w:tblPr>
              <w:tblW w:w="9288" w:type="dxa"/>
              <w:tblLayout w:type="fixed"/>
              <w:tblLook w:val="0000" w:firstRow="0" w:lastRow="0" w:firstColumn="0" w:lastColumn="0" w:noHBand="0" w:noVBand="0"/>
            </w:tblPr>
            <w:tblGrid>
              <w:gridCol w:w="6001"/>
              <w:gridCol w:w="3287"/>
            </w:tblGrid>
            <w:tr w:rsidR="000E73B5" w:rsidRPr="002508A5" w:rsidTr="00277EA9">
              <w:trPr>
                <w:cantSplit/>
              </w:trPr>
              <w:tc>
                <w:tcPr>
                  <w:tcW w:w="6001" w:type="dxa"/>
                </w:tcPr>
                <w:p w:rsidR="000E73B5" w:rsidRPr="002508A5" w:rsidRDefault="00D67BDB" w:rsidP="000E73B5">
                  <w:pPr>
                    <w:pStyle w:val="Kehatekst"/>
                    <w:tabs>
                      <w:tab w:val="left" w:pos="6521"/>
                    </w:tabs>
                    <w:jc w:val="left"/>
                    <w:rPr>
                      <w:noProof/>
                    </w:rPr>
                  </w:pPr>
                  <w:r>
                    <w:rPr>
                      <w:noProof/>
                    </w:rPr>
                    <w:t>Taavi Kotka</w:t>
                  </w:r>
                </w:p>
              </w:tc>
              <w:tc>
                <w:tcPr>
                  <w:tcW w:w="3287" w:type="dxa"/>
                </w:tcPr>
                <w:p w:rsidR="000E73B5" w:rsidRPr="002508A5" w:rsidRDefault="000E73B5" w:rsidP="000E73B5">
                  <w:pPr>
                    <w:pStyle w:val="Kehatekst"/>
                    <w:tabs>
                      <w:tab w:val="left" w:pos="6521"/>
                    </w:tabs>
                    <w:jc w:val="left"/>
                    <w:rPr>
                      <w:noProof/>
                    </w:rPr>
                  </w:pPr>
                </w:p>
              </w:tc>
            </w:tr>
            <w:tr w:rsidR="000E73B5" w:rsidRPr="002508A5" w:rsidTr="00277EA9">
              <w:trPr>
                <w:cantSplit/>
              </w:trPr>
              <w:tc>
                <w:tcPr>
                  <w:tcW w:w="6001" w:type="dxa"/>
                </w:tcPr>
                <w:p w:rsidR="000E73B5" w:rsidRPr="002508A5" w:rsidRDefault="000E73B5" w:rsidP="000E73B5">
                  <w:pPr>
                    <w:pStyle w:val="Kehatekst"/>
                    <w:tabs>
                      <w:tab w:val="left" w:pos="6521"/>
                    </w:tabs>
                    <w:jc w:val="left"/>
                    <w:rPr>
                      <w:noProof/>
                    </w:rPr>
                  </w:pPr>
                  <w:r w:rsidRPr="002508A5">
                    <w:rPr>
                      <w:noProof/>
                    </w:rPr>
                    <w:t>Vallavolikogu esimees</w:t>
                  </w:r>
                </w:p>
              </w:tc>
              <w:tc>
                <w:tcPr>
                  <w:tcW w:w="3287" w:type="dxa"/>
                </w:tcPr>
                <w:p w:rsidR="000E73B5" w:rsidRPr="002508A5" w:rsidRDefault="000E73B5" w:rsidP="000E73B5">
                  <w:pPr>
                    <w:pStyle w:val="Kehatekst"/>
                    <w:tabs>
                      <w:tab w:val="left" w:pos="6521"/>
                    </w:tabs>
                    <w:jc w:val="left"/>
                    <w:rPr>
                      <w:noProof/>
                    </w:rPr>
                  </w:pPr>
                </w:p>
              </w:tc>
            </w:tr>
          </w:tbl>
          <w:p w:rsidR="000E73B5" w:rsidRPr="002508A5" w:rsidRDefault="000E73B5" w:rsidP="000E73B5"/>
        </w:tc>
      </w:tr>
      <w:tr w:rsidR="000E73B5">
        <w:trPr>
          <w:cantSplit/>
        </w:trPr>
        <w:tc>
          <w:tcPr>
            <w:tcW w:w="9288" w:type="dxa"/>
            <w:gridSpan w:val="2"/>
          </w:tcPr>
          <w:tbl>
            <w:tblPr>
              <w:tblW w:w="9288" w:type="dxa"/>
              <w:tblLayout w:type="fixed"/>
              <w:tblLook w:val="0000" w:firstRow="0" w:lastRow="0" w:firstColumn="0" w:lastColumn="0" w:noHBand="0" w:noVBand="0"/>
            </w:tblPr>
            <w:tblGrid>
              <w:gridCol w:w="6001"/>
              <w:gridCol w:w="3287"/>
            </w:tblGrid>
            <w:tr w:rsidR="000E73B5" w:rsidTr="00B734CF">
              <w:trPr>
                <w:cantSplit/>
              </w:trPr>
              <w:tc>
                <w:tcPr>
                  <w:tcW w:w="6001" w:type="dxa"/>
                </w:tcPr>
                <w:p w:rsidR="000E73B5" w:rsidRDefault="000E73B5" w:rsidP="000E73B5">
                  <w:pPr>
                    <w:pStyle w:val="Kehatekst"/>
                    <w:tabs>
                      <w:tab w:val="left" w:pos="6521"/>
                    </w:tabs>
                    <w:jc w:val="left"/>
                    <w:rPr>
                      <w:noProof/>
                    </w:rPr>
                  </w:pPr>
                </w:p>
              </w:tc>
              <w:tc>
                <w:tcPr>
                  <w:tcW w:w="3287" w:type="dxa"/>
                </w:tcPr>
                <w:p w:rsidR="000E73B5" w:rsidRDefault="000E73B5" w:rsidP="000E73B5">
                  <w:pPr>
                    <w:pStyle w:val="Kehatekst"/>
                    <w:tabs>
                      <w:tab w:val="left" w:pos="6521"/>
                    </w:tabs>
                    <w:jc w:val="left"/>
                    <w:rPr>
                      <w:noProof/>
                    </w:rPr>
                  </w:pPr>
                </w:p>
              </w:tc>
            </w:tr>
            <w:tr w:rsidR="000E73B5" w:rsidTr="00B734CF">
              <w:trPr>
                <w:cantSplit/>
              </w:trPr>
              <w:tc>
                <w:tcPr>
                  <w:tcW w:w="6001" w:type="dxa"/>
                </w:tcPr>
                <w:p w:rsidR="000E73B5" w:rsidRDefault="000E73B5" w:rsidP="000E73B5">
                  <w:pPr>
                    <w:pStyle w:val="Kehatekst"/>
                    <w:tabs>
                      <w:tab w:val="left" w:pos="6521"/>
                    </w:tabs>
                    <w:jc w:val="left"/>
                    <w:rPr>
                      <w:noProof/>
                    </w:rPr>
                  </w:pPr>
                </w:p>
              </w:tc>
              <w:tc>
                <w:tcPr>
                  <w:tcW w:w="3287" w:type="dxa"/>
                </w:tcPr>
                <w:p w:rsidR="000E73B5" w:rsidRDefault="000E73B5" w:rsidP="000E73B5">
                  <w:pPr>
                    <w:pStyle w:val="Kehatekst"/>
                    <w:tabs>
                      <w:tab w:val="left" w:pos="6521"/>
                    </w:tabs>
                    <w:jc w:val="left"/>
                    <w:rPr>
                      <w:noProof/>
                    </w:rPr>
                  </w:pPr>
                </w:p>
              </w:tc>
            </w:tr>
          </w:tbl>
          <w:p w:rsidR="000E73B5" w:rsidRDefault="000E73B5" w:rsidP="000E73B5"/>
          <w:p w:rsidR="000E73B5" w:rsidRDefault="000E73B5" w:rsidP="000E73B5">
            <w:pPr>
              <w:jc w:val="both"/>
            </w:pPr>
            <w:r>
              <w:t xml:space="preserve">Eelnõu esitaja: </w:t>
            </w:r>
            <w:r w:rsidR="00E6013E">
              <w:t>Viimsi Vallavali</w:t>
            </w:r>
            <w:r w:rsidR="00F559FB">
              <w:t>t</w:t>
            </w:r>
            <w:r w:rsidR="00E6013E">
              <w:t>s</w:t>
            </w:r>
            <w:r w:rsidR="00F559FB">
              <w:t>us</w:t>
            </w:r>
          </w:p>
          <w:p w:rsidR="000E73B5" w:rsidRDefault="000E73B5" w:rsidP="000E73B5">
            <w:pPr>
              <w:jc w:val="both"/>
            </w:pPr>
            <w:r>
              <w:t xml:space="preserve">Eelnõu koostaja: </w:t>
            </w:r>
            <w:r w:rsidR="003F49F2">
              <w:t>Merit Renlund</w:t>
            </w:r>
            <w:r w:rsidR="003F0B32">
              <w:t>,</w:t>
            </w:r>
            <w:r w:rsidR="003F49F2">
              <w:t xml:space="preserve"> jurist</w:t>
            </w:r>
            <w:r w:rsidR="003F0B32">
              <w:t xml:space="preserve"> vallasekretär</w:t>
            </w:r>
            <w:r w:rsidR="003F49F2">
              <w:t>i ülesannetes</w:t>
            </w:r>
          </w:p>
          <w:p w:rsidR="000E73B5" w:rsidRDefault="000E73B5" w:rsidP="000E73B5">
            <w:pPr>
              <w:jc w:val="both"/>
            </w:pPr>
          </w:p>
          <w:p w:rsidR="006E5091" w:rsidRDefault="006E5091" w:rsidP="000E73B5">
            <w:pPr>
              <w:jc w:val="both"/>
            </w:pPr>
          </w:p>
          <w:p w:rsidR="006E5091" w:rsidRDefault="006E5091" w:rsidP="000E73B5">
            <w:pPr>
              <w:jc w:val="both"/>
            </w:pPr>
          </w:p>
          <w:p w:rsidR="006E5091" w:rsidRDefault="006E5091" w:rsidP="000E73B5">
            <w:pPr>
              <w:jc w:val="both"/>
            </w:pPr>
          </w:p>
          <w:p w:rsidR="000E73B5" w:rsidRDefault="000E73B5" w:rsidP="000E73B5">
            <w:pPr>
              <w:jc w:val="both"/>
            </w:pPr>
            <w:r>
              <w:t>Kooskõlastatud:</w:t>
            </w:r>
          </w:p>
          <w:p w:rsidR="000E73B5" w:rsidRDefault="000E73B5" w:rsidP="000E73B5">
            <w:pPr>
              <w:jc w:val="both"/>
            </w:pPr>
          </w:p>
          <w:p w:rsidR="000E73B5" w:rsidRDefault="000E73B5" w:rsidP="000E73B5">
            <w:pPr>
              <w:jc w:val="both"/>
            </w:pPr>
          </w:p>
          <w:p w:rsidR="000E73B5" w:rsidRDefault="004C1CEF" w:rsidP="00F80250">
            <w:pPr>
              <w:widowControl w:val="0"/>
              <w:jc w:val="both"/>
            </w:pPr>
            <w:r>
              <w:t>Janek Murakas</w:t>
            </w:r>
            <w:r w:rsidR="000E73B5">
              <w:tab/>
            </w:r>
            <w:r w:rsidR="00F80250">
              <w:t xml:space="preserve"> </w:t>
            </w:r>
            <w:r>
              <w:t>Kristi Tomingas</w:t>
            </w:r>
            <w:r w:rsidR="00CB0232">
              <w:tab/>
              <w:t xml:space="preserve">  </w:t>
            </w:r>
            <w:r w:rsidR="003F0B32">
              <w:t>Randar Lohu</w:t>
            </w:r>
            <w:r w:rsidR="000E73B5">
              <w:tab/>
            </w:r>
            <w:r w:rsidR="000E73B5">
              <w:tab/>
              <w:t xml:space="preserve"> </w:t>
            </w:r>
          </w:p>
          <w:p w:rsidR="003F0B32" w:rsidRDefault="003F0B32" w:rsidP="00F80250">
            <w:pPr>
              <w:widowControl w:val="0"/>
              <w:jc w:val="both"/>
            </w:pPr>
            <w:r>
              <w:t>a</w:t>
            </w:r>
            <w:r w:rsidR="006E5091">
              <w:t>bivallavanem</w:t>
            </w:r>
            <w:r w:rsidR="000E73B5">
              <w:tab/>
            </w:r>
            <w:r w:rsidR="000E73B5">
              <w:tab/>
            </w:r>
            <w:r>
              <w:t xml:space="preserve"> </w:t>
            </w:r>
            <w:r w:rsidR="004C1CEF">
              <w:t>vallasekretär</w:t>
            </w:r>
            <w:r w:rsidR="00F80250">
              <w:t xml:space="preserve"> </w:t>
            </w:r>
            <w:r w:rsidR="00824826">
              <w:t xml:space="preserve">                </w:t>
            </w:r>
            <w:r>
              <w:t>rahandusameti juhataja</w:t>
            </w:r>
          </w:p>
          <w:p w:rsidR="000E73B5" w:rsidRDefault="000E73B5" w:rsidP="000E73B5">
            <w:pPr>
              <w:jc w:val="both"/>
            </w:pPr>
            <w:r>
              <w:tab/>
            </w:r>
          </w:p>
          <w:p w:rsidR="000E73B5" w:rsidRDefault="000E73B5" w:rsidP="003F0B32">
            <w:pPr>
              <w:tabs>
                <w:tab w:val="left" w:pos="720"/>
                <w:tab w:val="left" w:pos="1440"/>
                <w:tab w:val="left" w:pos="2160"/>
                <w:tab w:val="left" w:pos="2880"/>
                <w:tab w:val="left" w:pos="3600"/>
                <w:tab w:val="left" w:pos="5805"/>
              </w:tabs>
            </w:pPr>
            <w:r>
              <w:tab/>
            </w:r>
            <w:r>
              <w:tab/>
            </w:r>
            <w:r>
              <w:tab/>
            </w:r>
            <w:r>
              <w:tab/>
            </w:r>
            <w:r>
              <w:tab/>
            </w:r>
            <w:r w:rsidR="003F0B32">
              <w:tab/>
            </w:r>
          </w:p>
          <w:p w:rsidR="00E6013E" w:rsidRDefault="003F49F2" w:rsidP="00E6013E">
            <w:r>
              <w:t>Merit Renlund</w:t>
            </w:r>
            <w:r w:rsidR="00C57E9E">
              <w:t xml:space="preserve">             Kadi Bruus</w:t>
            </w:r>
          </w:p>
          <w:p w:rsidR="000E73B5" w:rsidRPr="002508A5" w:rsidRDefault="00C54AD7" w:rsidP="00E6013E">
            <w:r>
              <w:t>jurist</w:t>
            </w:r>
            <w:r w:rsidR="006E5091">
              <w:t xml:space="preserve">                       </w:t>
            </w:r>
            <w:r w:rsidR="00C57E9E">
              <w:t xml:space="preserve">     haridus- ja noorsootöö peaspetsialist</w:t>
            </w:r>
          </w:p>
        </w:tc>
      </w:tr>
      <w:tr w:rsidR="00B96601">
        <w:trPr>
          <w:cantSplit/>
        </w:trPr>
        <w:tc>
          <w:tcPr>
            <w:tcW w:w="9288" w:type="dxa"/>
            <w:gridSpan w:val="2"/>
          </w:tcPr>
          <w:p w:rsidR="000E73B5" w:rsidRDefault="003F0B32">
            <w:pPr>
              <w:pStyle w:val="Kehatekst"/>
              <w:tabs>
                <w:tab w:val="left" w:pos="6521"/>
              </w:tabs>
              <w:jc w:val="left"/>
              <w:rPr>
                <w:noProof/>
              </w:rPr>
            </w:pPr>
            <w:r>
              <w:rPr>
                <w:noProof/>
              </w:rPr>
              <w:t xml:space="preserve">  </w:t>
            </w:r>
          </w:p>
          <w:p w:rsidR="000E73B5" w:rsidRDefault="000E73B5">
            <w:pPr>
              <w:pStyle w:val="Kehatekst"/>
              <w:tabs>
                <w:tab w:val="left" w:pos="6521"/>
              </w:tabs>
              <w:jc w:val="left"/>
              <w:rPr>
                <w:noProof/>
              </w:rPr>
            </w:pPr>
          </w:p>
        </w:tc>
      </w:tr>
      <w:tr w:rsidR="00B96601">
        <w:trPr>
          <w:cantSplit/>
        </w:trPr>
        <w:tc>
          <w:tcPr>
            <w:tcW w:w="6001" w:type="dxa"/>
          </w:tcPr>
          <w:p w:rsidR="00B96601" w:rsidRDefault="00B96601" w:rsidP="00A61D84">
            <w:pPr>
              <w:pStyle w:val="Kehatekst"/>
              <w:tabs>
                <w:tab w:val="left" w:pos="6521"/>
              </w:tabs>
              <w:jc w:val="left"/>
              <w:rPr>
                <w:noProof/>
              </w:rPr>
            </w:pPr>
          </w:p>
        </w:tc>
        <w:tc>
          <w:tcPr>
            <w:tcW w:w="3287" w:type="dxa"/>
          </w:tcPr>
          <w:p w:rsidR="00B96601" w:rsidRDefault="00B96601">
            <w:pPr>
              <w:pStyle w:val="Kehatekst"/>
              <w:tabs>
                <w:tab w:val="left" w:pos="6521"/>
              </w:tabs>
              <w:jc w:val="left"/>
              <w:rPr>
                <w:noProof/>
              </w:rPr>
            </w:pPr>
          </w:p>
        </w:tc>
      </w:tr>
      <w:tr w:rsidR="00B96601">
        <w:trPr>
          <w:cantSplit/>
        </w:trPr>
        <w:tc>
          <w:tcPr>
            <w:tcW w:w="6001" w:type="dxa"/>
          </w:tcPr>
          <w:p w:rsidR="00B96601" w:rsidRDefault="00B96601">
            <w:pPr>
              <w:pStyle w:val="Kehatekst"/>
              <w:tabs>
                <w:tab w:val="left" w:pos="6521"/>
              </w:tabs>
              <w:jc w:val="left"/>
              <w:rPr>
                <w:noProof/>
              </w:rPr>
            </w:pPr>
          </w:p>
        </w:tc>
        <w:tc>
          <w:tcPr>
            <w:tcW w:w="3287" w:type="dxa"/>
          </w:tcPr>
          <w:p w:rsidR="00B96601" w:rsidRDefault="00B96601">
            <w:pPr>
              <w:pStyle w:val="Kehatekst"/>
              <w:tabs>
                <w:tab w:val="left" w:pos="6521"/>
              </w:tabs>
              <w:jc w:val="left"/>
              <w:rPr>
                <w:noProof/>
              </w:rPr>
            </w:pPr>
          </w:p>
        </w:tc>
      </w:tr>
      <w:tr w:rsidR="00B96601">
        <w:trPr>
          <w:cantSplit/>
        </w:trPr>
        <w:tc>
          <w:tcPr>
            <w:tcW w:w="9288" w:type="dxa"/>
            <w:gridSpan w:val="2"/>
          </w:tcPr>
          <w:p w:rsidR="00B96601" w:rsidRDefault="00B96601">
            <w:pPr>
              <w:pStyle w:val="Kehatekst"/>
              <w:tabs>
                <w:tab w:val="left" w:pos="6521"/>
              </w:tabs>
              <w:jc w:val="left"/>
              <w:rPr>
                <w:noProof/>
              </w:rPr>
            </w:pPr>
          </w:p>
        </w:tc>
      </w:tr>
    </w:tbl>
    <w:p w:rsidR="00962C8F" w:rsidRDefault="00962C8F" w:rsidP="00962C8F">
      <w:pPr>
        <w:pStyle w:val="Normaallaadveeb"/>
        <w:spacing w:before="0" w:after="0"/>
        <w:rPr>
          <w:rFonts w:ascii="Times New Roman" w:hAnsi="Times New Roman" w:cs="Times New Roman"/>
        </w:rPr>
      </w:pPr>
    </w:p>
    <w:p w:rsidR="00D835B7" w:rsidRDefault="00D835B7" w:rsidP="00962C8F">
      <w:pPr>
        <w:pStyle w:val="Normaallaadveeb"/>
        <w:spacing w:before="0" w:after="0"/>
        <w:rPr>
          <w:rFonts w:ascii="Times New Roman" w:hAnsi="Times New Roman" w:cs="Times New Roman"/>
        </w:rPr>
      </w:pPr>
    </w:p>
    <w:p w:rsidR="00D835B7" w:rsidRDefault="00D835B7" w:rsidP="00962C8F">
      <w:pPr>
        <w:pStyle w:val="Normaallaadveeb"/>
        <w:spacing w:before="0" w:after="0"/>
        <w:rPr>
          <w:rFonts w:ascii="Times New Roman" w:hAnsi="Times New Roman" w:cs="Times New Roman"/>
        </w:rPr>
      </w:pPr>
    </w:p>
    <w:p w:rsidR="00D835B7" w:rsidRDefault="00D835B7" w:rsidP="00962C8F">
      <w:pPr>
        <w:pStyle w:val="Normaallaadveeb"/>
        <w:spacing w:before="0" w:after="0"/>
        <w:rPr>
          <w:rFonts w:ascii="Times New Roman" w:hAnsi="Times New Roman" w:cs="Times New Roman"/>
        </w:rPr>
      </w:pPr>
    </w:p>
    <w:p w:rsidR="00D835B7" w:rsidRDefault="00D835B7" w:rsidP="00962C8F">
      <w:pPr>
        <w:pStyle w:val="Normaallaadveeb"/>
        <w:spacing w:before="0" w:after="0"/>
        <w:rPr>
          <w:rFonts w:ascii="Times New Roman" w:hAnsi="Times New Roman" w:cs="Times New Roman"/>
        </w:rPr>
      </w:pPr>
    </w:p>
    <w:p w:rsidR="00D835B7" w:rsidRDefault="00D835B7" w:rsidP="00962C8F">
      <w:pPr>
        <w:pStyle w:val="Normaallaadveeb"/>
        <w:spacing w:before="0" w:after="0"/>
        <w:rPr>
          <w:rFonts w:ascii="Times New Roman" w:hAnsi="Times New Roman" w:cs="Times New Roman"/>
        </w:rPr>
      </w:pPr>
    </w:p>
    <w:p w:rsidR="00D835B7" w:rsidRDefault="00D835B7" w:rsidP="00962C8F">
      <w:pPr>
        <w:pStyle w:val="Normaallaadveeb"/>
        <w:spacing w:before="0" w:after="0"/>
        <w:rPr>
          <w:rFonts w:ascii="Times New Roman" w:hAnsi="Times New Roman" w:cs="Times New Roman"/>
        </w:rPr>
      </w:pPr>
    </w:p>
    <w:p w:rsidR="00D835B7" w:rsidRDefault="00D835B7" w:rsidP="00962C8F">
      <w:pPr>
        <w:pStyle w:val="Normaallaadveeb"/>
        <w:spacing w:before="0" w:after="0"/>
        <w:rPr>
          <w:rFonts w:ascii="Times New Roman" w:hAnsi="Times New Roman" w:cs="Times New Roman"/>
        </w:rPr>
      </w:pPr>
    </w:p>
    <w:p w:rsidR="00D835B7" w:rsidRDefault="00D835B7" w:rsidP="00962C8F">
      <w:pPr>
        <w:pStyle w:val="Normaallaadveeb"/>
        <w:spacing w:before="0" w:after="0"/>
        <w:rPr>
          <w:rFonts w:ascii="Times New Roman" w:hAnsi="Times New Roman" w:cs="Times New Roman"/>
        </w:rPr>
      </w:pPr>
    </w:p>
    <w:p w:rsidR="00D835B7" w:rsidRDefault="00D835B7" w:rsidP="00962C8F">
      <w:pPr>
        <w:pStyle w:val="Normaallaadveeb"/>
        <w:spacing w:before="0" w:after="0"/>
        <w:rPr>
          <w:rFonts w:ascii="Times New Roman" w:hAnsi="Times New Roman" w:cs="Times New Roman"/>
        </w:rPr>
      </w:pPr>
    </w:p>
    <w:p w:rsidR="00D835B7" w:rsidRDefault="00D835B7" w:rsidP="00962C8F">
      <w:pPr>
        <w:pStyle w:val="Normaallaadveeb"/>
        <w:spacing w:before="0" w:after="0"/>
        <w:rPr>
          <w:rFonts w:ascii="Times New Roman" w:hAnsi="Times New Roman" w:cs="Times New Roman"/>
        </w:rPr>
      </w:pPr>
    </w:p>
    <w:p w:rsidR="00D835B7" w:rsidRDefault="00D835B7" w:rsidP="00962C8F">
      <w:pPr>
        <w:pStyle w:val="Normaallaadveeb"/>
        <w:spacing w:before="0" w:after="0"/>
        <w:rPr>
          <w:rFonts w:ascii="Times New Roman" w:hAnsi="Times New Roman" w:cs="Times New Roman"/>
        </w:rPr>
      </w:pPr>
    </w:p>
    <w:p w:rsidR="00D835B7" w:rsidRDefault="00D835B7" w:rsidP="00962C8F">
      <w:pPr>
        <w:pStyle w:val="Normaallaadveeb"/>
        <w:spacing w:before="0" w:after="0"/>
        <w:rPr>
          <w:rFonts w:ascii="Times New Roman" w:hAnsi="Times New Roman" w:cs="Times New Roman"/>
        </w:rPr>
      </w:pPr>
    </w:p>
    <w:p w:rsidR="00D835B7" w:rsidRDefault="00D835B7" w:rsidP="00962C8F">
      <w:pPr>
        <w:pStyle w:val="Normaallaadveeb"/>
        <w:spacing w:before="0" w:after="0"/>
        <w:rPr>
          <w:rFonts w:ascii="Times New Roman" w:hAnsi="Times New Roman" w:cs="Times New Roman"/>
        </w:rPr>
      </w:pPr>
    </w:p>
    <w:p w:rsidR="00D835B7" w:rsidRDefault="00D835B7" w:rsidP="00962C8F">
      <w:pPr>
        <w:pStyle w:val="Normaallaadveeb"/>
        <w:spacing w:before="0" w:after="0"/>
        <w:rPr>
          <w:rFonts w:ascii="Times New Roman" w:hAnsi="Times New Roman" w:cs="Times New Roman"/>
        </w:rPr>
      </w:pPr>
    </w:p>
    <w:p w:rsidR="00D835B7" w:rsidRDefault="00D835B7" w:rsidP="00962C8F">
      <w:pPr>
        <w:pStyle w:val="Normaallaadveeb"/>
        <w:spacing w:before="0" w:after="0"/>
        <w:rPr>
          <w:rFonts w:ascii="Times New Roman" w:hAnsi="Times New Roman" w:cs="Times New Roman"/>
        </w:rPr>
      </w:pPr>
    </w:p>
    <w:p w:rsidR="00D835B7" w:rsidRDefault="00D835B7" w:rsidP="00962C8F">
      <w:pPr>
        <w:pStyle w:val="Normaallaadveeb"/>
        <w:spacing w:before="0" w:after="0"/>
        <w:rPr>
          <w:rFonts w:ascii="Times New Roman" w:hAnsi="Times New Roman" w:cs="Times New Roman"/>
        </w:rPr>
      </w:pPr>
    </w:p>
    <w:p w:rsidR="00D835B7" w:rsidRDefault="00D835B7" w:rsidP="00962C8F">
      <w:pPr>
        <w:pStyle w:val="Normaallaadveeb"/>
        <w:spacing w:before="0" w:after="0"/>
        <w:rPr>
          <w:rFonts w:ascii="Times New Roman" w:hAnsi="Times New Roman" w:cs="Times New Roman"/>
        </w:rPr>
      </w:pPr>
    </w:p>
    <w:p w:rsidR="00D835B7" w:rsidRDefault="00D835B7" w:rsidP="00962C8F">
      <w:pPr>
        <w:pStyle w:val="Normaallaadveeb"/>
        <w:spacing w:before="0" w:after="0"/>
        <w:rPr>
          <w:rFonts w:ascii="Times New Roman" w:hAnsi="Times New Roman" w:cs="Times New Roman"/>
        </w:rPr>
      </w:pPr>
    </w:p>
    <w:p w:rsidR="00D835B7" w:rsidRDefault="00D835B7" w:rsidP="00962C8F">
      <w:pPr>
        <w:pStyle w:val="Normaallaadveeb"/>
        <w:spacing w:before="0" w:after="0"/>
        <w:rPr>
          <w:rFonts w:ascii="Times New Roman" w:hAnsi="Times New Roman" w:cs="Times New Roman"/>
        </w:rPr>
      </w:pPr>
    </w:p>
    <w:p w:rsidR="00D835B7" w:rsidRDefault="00D835B7" w:rsidP="00962C8F">
      <w:pPr>
        <w:pStyle w:val="Normaallaadveeb"/>
        <w:spacing w:before="0" w:after="0"/>
        <w:rPr>
          <w:rFonts w:ascii="Times New Roman" w:hAnsi="Times New Roman" w:cs="Times New Roman"/>
        </w:rPr>
      </w:pPr>
    </w:p>
    <w:p w:rsidR="00D835B7" w:rsidRDefault="00D835B7" w:rsidP="00962C8F">
      <w:pPr>
        <w:pStyle w:val="Normaallaadveeb"/>
        <w:spacing w:before="0" w:after="0"/>
        <w:rPr>
          <w:rFonts w:ascii="Times New Roman" w:hAnsi="Times New Roman" w:cs="Times New Roman"/>
        </w:rPr>
      </w:pPr>
    </w:p>
    <w:p w:rsidR="00D835B7" w:rsidRDefault="00D835B7" w:rsidP="00962C8F">
      <w:pPr>
        <w:pStyle w:val="Normaallaadveeb"/>
        <w:spacing w:before="0" w:after="0"/>
        <w:rPr>
          <w:rFonts w:ascii="Times New Roman" w:hAnsi="Times New Roman" w:cs="Times New Roman"/>
        </w:rPr>
      </w:pPr>
    </w:p>
    <w:p w:rsidR="00D835B7" w:rsidRDefault="00D835B7" w:rsidP="00962C8F">
      <w:pPr>
        <w:pStyle w:val="Normaallaadveeb"/>
        <w:spacing w:before="0" w:after="0"/>
        <w:rPr>
          <w:rFonts w:ascii="Times New Roman" w:hAnsi="Times New Roman" w:cs="Times New Roman"/>
        </w:rPr>
      </w:pPr>
    </w:p>
    <w:p w:rsidR="00D835B7" w:rsidRDefault="00D835B7" w:rsidP="00962C8F">
      <w:pPr>
        <w:pStyle w:val="Normaallaadveeb"/>
        <w:spacing w:before="0" w:after="0"/>
        <w:rPr>
          <w:rFonts w:ascii="Times New Roman" w:hAnsi="Times New Roman" w:cs="Times New Roman"/>
        </w:rPr>
      </w:pPr>
    </w:p>
    <w:p w:rsidR="00D835B7" w:rsidRDefault="00D835B7" w:rsidP="00962C8F">
      <w:pPr>
        <w:pStyle w:val="Normaallaadveeb"/>
        <w:spacing w:before="0" w:after="0"/>
        <w:rPr>
          <w:rFonts w:ascii="Times New Roman" w:hAnsi="Times New Roman" w:cs="Times New Roman"/>
        </w:rPr>
      </w:pPr>
    </w:p>
    <w:p w:rsidR="00D835B7" w:rsidRDefault="00D835B7" w:rsidP="00962C8F">
      <w:pPr>
        <w:pStyle w:val="Normaallaadveeb"/>
        <w:spacing w:before="0" w:after="0"/>
        <w:rPr>
          <w:rFonts w:ascii="Times New Roman" w:hAnsi="Times New Roman" w:cs="Times New Roman"/>
        </w:rPr>
      </w:pPr>
    </w:p>
    <w:tbl>
      <w:tblPr>
        <w:tblW w:w="9108" w:type="dxa"/>
        <w:tblLayout w:type="fixed"/>
        <w:tblLook w:val="0000" w:firstRow="0" w:lastRow="0" w:firstColumn="0" w:lastColumn="0" w:noHBand="0" w:noVBand="0"/>
      </w:tblPr>
      <w:tblGrid>
        <w:gridCol w:w="4589"/>
        <w:gridCol w:w="4519"/>
      </w:tblGrid>
      <w:tr w:rsidR="00D835B7" w:rsidRPr="00D835B7" w:rsidTr="00920C52">
        <w:trPr>
          <w:cantSplit/>
        </w:trPr>
        <w:tc>
          <w:tcPr>
            <w:tcW w:w="9108" w:type="dxa"/>
            <w:gridSpan w:val="2"/>
          </w:tcPr>
          <w:p w:rsidR="00D835B7" w:rsidRPr="00D835B7" w:rsidRDefault="00D835B7" w:rsidP="00D835B7">
            <w:pPr>
              <w:tabs>
                <w:tab w:val="left" w:pos="6521"/>
              </w:tabs>
              <w:rPr>
                <w:b/>
                <w:noProof/>
                <w:szCs w:val="20"/>
              </w:rPr>
            </w:pPr>
            <w:r w:rsidRPr="00D835B7">
              <w:rPr>
                <w:b/>
                <w:noProof/>
                <w:szCs w:val="20"/>
              </w:rPr>
              <w:lastRenderedPageBreak/>
              <w:t>Seletuskiri</w:t>
            </w:r>
          </w:p>
        </w:tc>
      </w:tr>
      <w:tr w:rsidR="00D835B7" w:rsidRPr="00D835B7" w:rsidTr="00920C52">
        <w:trPr>
          <w:cantSplit/>
        </w:trPr>
        <w:tc>
          <w:tcPr>
            <w:tcW w:w="9108" w:type="dxa"/>
            <w:gridSpan w:val="2"/>
          </w:tcPr>
          <w:p w:rsidR="00D835B7" w:rsidRPr="00D835B7" w:rsidRDefault="00D835B7" w:rsidP="00D835B7">
            <w:pPr>
              <w:tabs>
                <w:tab w:val="left" w:pos="6521"/>
              </w:tabs>
              <w:rPr>
                <w:noProof/>
                <w:szCs w:val="20"/>
              </w:rPr>
            </w:pPr>
          </w:p>
        </w:tc>
      </w:tr>
      <w:tr w:rsidR="00D835B7" w:rsidRPr="00D835B7" w:rsidTr="00920C52">
        <w:trPr>
          <w:cantSplit/>
        </w:trPr>
        <w:tc>
          <w:tcPr>
            <w:tcW w:w="4589" w:type="dxa"/>
          </w:tcPr>
          <w:p w:rsidR="00D835B7" w:rsidRPr="00D835B7" w:rsidRDefault="00D835B7" w:rsidP="00F8241C">
            <w:pPr>
              <w:tabs>
                <w:tab w:val="left" w:pos="6521"/>
              </w:tabs>
              <w:rPr>
                <w:noProof/>
                <w:szCs w:val="20"/>
              </w:rPr>
            </w:pPr>
            <w:r w:rsidRPr="00D835B7">
              <w:rPr>
                <w:noProof/>
                <w:szCs w:val="20"/>
              </w:rPr>
              <w:t xml:space="preserve">Viimsi Vallavolikogu osuse </w:t>
            </w:r>
            <w:r w:rsidR="00F8241C">
              <w:rPr>
                <w:noProof/>
                <w:szCs w:val="20"/>
              </w:rPr>
              <w:t>eelnõu „</w:t>
            </w:r>
            <w:r w:rsidR="00F8241C">
              <w:t>MTÜ-ga Teadmiskeskus Collegium Eruditionis koostöölepingu sõlmimiseks volituse andmine</w:t>
            </w:r>
            <w:r w:rsidR="00F8241C">
              <w:rPr>
                <w:noProof/>
                <w:szCs w:val="20"/>
              </w:rPr>
              <w:t xml:space="preserve"> </w:t>
            </w:r>
            <w:r w:rsidRPr="00D835B7">
              <w:rPr>
                <w:noProof/>
                <w:szCs w:val="20"/>
              </w:rPr>
              <w:t>“ juurde</w:t>
            </w:r>
          </w:p>
        </w:tc>
        <w:tc>
          <w:tcPr>
            <w:tcW w:w="4519" w:type="dxa"/>
          </w:tcPr>
          <w:p w:rsidR="00D835B7" w:rsidRPr="00D835B7" w:rsidRDefault="00D835B7" w:rsidP="00D835B7">
            <w:pPr>
              <w:tabs>
                <w:tab w:val="left" w:pos="6521"/>
              </w:tabs>
              <w:jc w:val="both"/>
              <w:rPr>
                <w:noProof/>
                <w:szCs w:val="20"/>
              </w:rPr>
            </w:pPr>
          </w:p>
        </w:tc>
      </w:tr>
      <w:tr w:rsidR="00D835B7" w:rsidRPr="00D835B7" w:rsidTr="00920C52">
        <w:trPr>
          <w:cantSplit/>
        </w:trPr>
        <w:tc>
          <w:tcPr>
            <w:tcW w:w="9108" w:type="dxa"/>
            <w:gridSpan w:val="2"/>
          </w:tcPr>
          <w:p w:rsidR="00D835B7" w:rsidRPr="00D835B7" w:rsidRDefault="00D835B7" w:rsidP="00D835B7">
            <w:pPr>
              <w:tabs>
                <w:tab w:val="left" w:pos="6521"/>
              </w:tabs>
              <w:rPr>
                <w:noProof/>
                <w:szCs w:val="20"/>
              </w:rPr>
            </w:pPr>
          </w:p>
        </w:tc>
      </w:tr>
      <w:tr w:rsidR="00D835B7" w:rsidRPr="00D835B7" w:rsidTr="00920C52">
        <w:trPr>
          <w:cantSplit/>
        </w:trPr>
        <w:tc>
          <w:tcPr>
            <w:tcW w:w="9108" w:type="dxa"/>
            <w:gridSpan w:val="2"/>
          </w:tcPr>
          <w:p w:rsidR="00D835B7" w:rsidRPr="00D835B7" w:rsidRDefault="00D835B7" w:rsidP="00D835B7">
            <w:pPr>
              <w:tabs>
                <w:tab w:val="left" w:pos="6521"/>
              </w:tabs>
              <w:rPr>
                <w:noProof/>
                <w:szCs w:val="20"/>
              </w:rPr>
            </w:pPr>
          </w:p>
        </w:tc>
      </w:tr>
    </w:tbl>
    <w:p w:rsidR="00D835B7" w:rsidRPr="00D835B7" w:rsidRDefault="00D835B7" w:rsidP="00D835B7">
      <w:pPr>
        <w:autoSpaceDE w:val="0"/>
        <w:autoSpaceDN w:val="0"/>
        <w:adjustRightInd w:val="0"/>
        <w:spacing w:after="30"/>
        <w:jc w:val="both"/>
        <w:rPr>
          <w:color w:val="000000"/>
          <w:lang w:eastAsia="et-EE"/>
        </w:rPr>
      </w:pPr>
      <w:r w:rsidRPr="00D835B7">
        <w:rPr>
          <w:color w:val="000000"/>
          <w:lang w:eastAsia="et-EE"/>
        </w:rPr>
        <w:t>Viimsi Vallavolikogu otsuse alusel antakse Viimsi Vallavalitsusele volitus sõlmida 4 aastane koostööleping MTÜ’ga Teadmiskeskus Collegium Eruditionis, mille raames vald toetab iga-aastaselt laste ja noorte  osalemist loodus-, täppisteaduste ja tehnoloogia valdkonna ning kultuuri huviringides.</w:t>
      </w:r>
      <w:r w:rsidRPr="00D835B7">
        <w:rPr>
          <w:rFonts w:ascii="Calibri" w:hAnsi="Calibri" w:cs="Calibri"/>
          <w:color w:val="000000"/>
          <w:lang w:eastAsia="et-EE"/>
        </w:rPr>
        <w:t xml:space="preserve"> </w:t>
      </w:r>
      <w:r w:rsidRPr="00D835B7">
        <w:rPr>
          <w:color w:val="000000"/>
          <w:lang w:eastAsia="et-EE"/>
        </w:rPr>
        <w:t xml:space="preserve">Teadushuvihariduse uute metoodikate ja õppekavade arendamine ning teadushuviringide loomise soodustamine mitmekesistab valikuid ning võimaldab arendada huvisid ja võimekust ning arendada välja iga õppija potentsiaali. </w:t>
      </w:r>
    </w:p>
    <w:p w:rsidR="00D835B7" w:rsidRPr="00D835B7" w:rsidRDefault="00D835B7" w:rsidP="00D835B7">
      <w:pPr>
        <w:jc w:val="both"/>
        <w:rPr>
          <w:noProof/>
        </w:rPr>
      </w:pPr>
    </w:p>
    <w:p w:rsidR="00D835B7" w:rsidRPr="00D835B7" w:rsidRDefault="00D835B7" w:rsidP="00D835B7">
      <w:pPr>
        <w:autoSpaceDE w:val="0"/>
        <w:autoSpaceDN w:val="0"/>
        <w:adjustRightInd w:val="0"/>
        <w:jc w:val="both"/>
        <w:rPr>
          <w:color w:val="000000"/>
          <w:lang w:eastAsia="et-EE"/>
        </w:rPr>
      </w:pPr>
      <w:r w:rsidRPr="00D835B7">
        <w:rPr>
          <w:color w:val="000000"/>
          <w:lang w:eastAsia="et-EE"/>
        </w:rPr>
        <w:t>Huvikooli Collegium Eruditionis huviringides osaleb käesoleval õppeaastal ~</w:t>
      </w:r>
      <w:r w:rsidRPr="00D835B7">
        <w:rPr>
          <w:b/>
          <w:bCs/>
          <w:color w:val="000000"/>
          <w:lang w:eastAsia="et-EE"/>
        </w:rPr>
        <w:t xml:space="preserve">750 </w:t>
      </w:r>
      <w:r w:rsidRPr="00D835B7">
        <w:rPr>
          <w:color w:val="000000"/>
          <w:lang w:eastAsia="et-EE"/>
        </w:rPr>
        <w:t xml:space="preserve">Viimsi </w:t>
      </w:r>
      <w:r w:rsidR="00543DF9">
        <w:rPr>
          <w:color w:val="000000"/>
          <w:lang w:eastAsia="et-EE"/>
        </w:rPr>
        <w:t>v</w:t>
      </w:r>
      <w:r w:rsidRPr="00D835B7">
        <w:rPr>
          <w:color w:val="000000"/>
          <w:lang w:eastAsia="et-EE"/>
        </w:rPr>
        <w:t>alla noort vanuses 7.-19. eluaastat. Huviringid tegutsevad Viimsi, Haabneeme, Randvere ja Püünsi Koolis. Huvikooli Collegium Eruditionis 32 õppekava on registreeritud Eesti Hariduse Infosüsteemis:</w:t>
      </w:r>
    </w:p>
    <w:p w:rsidR="00D835B7" w:rsidRPr="00D835B7" w:rsidRDefault="00D835B7" w:rsidP="00D835B7">
      <w:pPr>
        <w:autoSpaceDE w:val="0"/>
        <w:autoSpaceDN w:val="0"/>
        <w:adjustRightInd w:val="0"/>
        <w:jc w:val="both"/>
        <w:rPr>
          <w:color w:val="000000"/>
          <w:sz w:val="20"/>
          <w:szCs w:val="20"/>
          <w:lang w:eastAsia="et-EE"/>
        </w:rPr>
      </w:pPr>
      <w:r w:rsidRPr="00D835B7">
        <w:rPr>
          <w:color w:val="000000"/>
          <w:lang w:eastAsia="et-EE"/>
        </w:rPr>
        <w:t>/</w:t>
      </w:r>
      <w:r w:rsidRPr="00D835B7">
        <w:rPr>
          <w:color w:val="000000"/>
          <w:sz w:val="20"/>
          <w:szCs w:val="20"/>
          <w:lang w:eastAsia="et-EE"/>
        </w:rPr>
        <w:t>Rebase Ruudi loodusring (kood 150237), Teadusring "Taibu" (kood 150238), Robootika (kood 150257), Arhitektuuriring "Ruum ja vorm" (kood 150277) Elektroonikakursus "Digi" (kood 150278), Animatsioonikursus "Teen ise multifilmi" (kood 150297), Programmeerimine algajatele (kood 150298), Multimeediaring (kood 150299), Programmeerimisring "Püüton" (kood 150300), Eksperimentaalne loodusteadus (kood 150301), Matemaatikaring "Nupula" (kood 150302), Huviring "Hiina keel ja kultuur" (kood 150303), Huviring "Hispaania keel ja kultuur" (kood 150304), Huviring "Kokandus algajale" (kood 150305), Kunsti- ja meisterdamise ring (kood 150306), Malering (kood 150307), Näitering "Eksperiment" (kood 150309), Näitetrupp "WILHELMIINE" (kood 150311), Rockiring (kood 150317), Rahvatantsuring (kood 150337), Eesti rahvatants (kood 150338), Muusikatuba (kood 150339), Ansamblilaul (kood 188898), Käsitööring (kood 188899), Laste jooga (kood 188900), Solistiõpe (kood 188906) Muusikateater (kood 188903), Matemaatikaring "Nuputaja" (kood 188901), Matemaatikakursus "Eukleides" (kood 188902), Nutikad matemaatikud (kood 188904), Rootsi keel ja kultuur (kood 188905), Kosmosering "Päikesesüsteem ja kosmos" (kood 188915). /</w:t>
      </w:r>
    </w:p>
    <w:p w:rsidR="00D835B7" w:rsidRPr="00D835B7" w:rsidRDefault="00D835B7" w:rsidP="00D835B7">
      <w:pPr>
        <w:autoSpaceDE w:val="0"/>
        <w:autoSpaceDN w:val="0"/>
        <w:adjustRightInd w:val="0"/>
        <w:jc w:val="both"/>
        <w:rPr>
          <w:color w:val="000000"/>
          <w:lang w:eastAsia="et-EE"/>
        </w:rPr>
      </w:pPr>
    </w:p>
    <w:p w:rsidR="00D835B7" w:rsidRPr="00D835B7" w:rsidRDefault="00D835B7" w:rsidP="00D835B7">
      <w:pPr>
        <w:autoSpaceDE w:val="0"/>
        <w:autoSpaceDN w:val="0"/>
        <w:adjustRightInd w:val="0"/>
        <w:jc w:val="both"/>
        <w:rPr>
          <w:color w:val="000000"/>
          <w:lang w:eastAsia="et-EE"/>
        </w:rPr>
      </w:pPr>
      <w:r w:rsidRPr="00D835B7">
        <w:rPr>
          <w:color w:val="000000"/>
          <w:lang w:eastAsia="et-EE"/>
        </w:rPr>
        <w:t xml:space="preserve">Huvikooli Collegium Eruditionis huviringide tegevused on seotud järgmiste riiklike strateegiate ja arengu eesmärkidega: </w:t>
      </w:r>
    </w:p>
    <w:p w:rsidR="00D835B7" w:rsidRPr="00D835B7" w:rsidRDefault="00D835B7" w:rsidP="00D835B7">
      <w:pPr>
        <w:numPr>
          <w:ilvl w:val="0"/>
          <w:numId w:val="7"/>
        </w:numPr>
        <w:autoSpaceDE w:val="0"/>
        <w:autoSpaceDN w:val="0"/>
        <w:adjustRightInd w:val="0"/>
        <w:spacing w:after="30"/>
        <w:jc w:val="both"/>
        <w:rPr>
          <w:color w:val="000000"/>
          <w:lang w:eastAsia="et-EE"/>
        </w:rPr>
      </w:pPr>
      <w:r w:rsidRPr="00D835B7">
        <w:rPr>
          <w:color w:val="000000"/>
          <w:lang w:eastAsia="et-EE"/>
        </w:rPr>
        <w:t xml:space="preserve">Eesti teadus- ja arendustegevuse ning innovatsiooni strateegia 2014–2020 </w:t>
      </w:r>
      <w:r w:rsidRPr="00D835B7">
        <w:rPr>
          <w:b/>
          <w:bCs/>
          <w:color w:val="000000"/>
          <w:lang w:eastAsia="et-EE"/>
        </w:rPr>
        <w:t xml:space="preserve">„Teadmistepõhine Eesti” </w:t>
      </w:r>
      <w:r w:rsidRPr="00D835B7">
        <w:rPr>
          <w:color w:val="000000"/>
          <w:lang w:eastAsia="et-EE"/>
        </w:rPr>
        <w:t xml:space="preserve">seab teaduse populariseerimisel üheks eesmärgiks populariseerida ühiskonnas teadust ja teadusharidust.  </w:t>
      </w:r>
    </w:p>
    <w:p w:rsidR="00D835B7" w:rsidRPr="00D835B7" w:rsidRDefault="00D835B7" w:rsidP="00D835B7">
      <w:pPr>
        <w:numPr>
          <w:ilvl w:val="0"/>
          <w:numId w:val="7"/>
        </w:numPr>
        <w:autoSpaceDE w:val="0"/>
        <w:autoSpaceDN w:val="0"/>
        <w:adjustRightInd w:val="0"/>
        <w:spacing w:after="30"/>
        <w:jc w:val="both"/>
        <w:rPr>
          <w:color w:val="000000"/>
          <w:lang w:eastAsia="et-EE"/>
        </w:rPr>
      </w:pPr>
      <w:r w:rsidRPr="00D835B7">
        <w:rPr>
          <w:b/>
          <w:bCs/>
          <w:color w:val="000000"/>
          <w:lang w:eastAsia="et-EE"/>
        </w:rPr>
        <w:t xml:space="preserve">„Eesti ettevõtluse kasvustrateegia 2014-2020“ </w:t>
      </w:r>
      <w:r w:rsidRPr="00D835B7">
        <w:rPr>
          <w:color w:val="000000"/>
          <w:lang w:eastAsia="et-EE"/>
        </w:rPr>
        <w:t xml:space="preserve">pöörab tähelepanu kolmele väljakutsele, milleks on: tootlikkuse tõstmine, ettevõtlikkuse ergutamine ja innovatsioonile julgustamine. Huvikooli tegevused annavad oma panuse ettevõtluse kasvustrateegia väljakutsete realiseerimiseks, sest Eesti vajab noori andekaid loodus- ja täppisteadlasi, insenere ja IT-spetsialiste, kes tegelevad tuleviku maailma väljakutsetega. Loovuse, koostöö, innovatsiooni ja ettevõtlikkuse arendamine on meie tegemistes olulisel kohal. </w:t>
      </w:r>
    </w:p>
    <w:p w:rsidR="00D835B7" w:rsidRPr="00D835B7" w:rsidRDefault="00D835B7" w:rsidP="00D835B7">
      <w:pPr>
        <w:numPr>
          <w:ilvl w:val="0"/>
          <w:numId w:val="7"/>
        </w:numPr>
        <w:autoSpaceDE w:val="0"/>
        <w:autoSpaceDN w:val="0"/>
        <w:adjustRightInd w:val="0"/>
        <w:spacing w:after="30"/>
        <w:jc w:val="both"/>
        <w:rPr>
          <w:color w:val="000000"/>
          <w:lang w:eastAsia="et-EE"/>
        </w:rPr>
      </w:pPr>
      <w:r w:rsidRPr="00D835B7">
        <w:rPr>
          <w:b/>
          <w:bCs/>
          <w:color w:val="000000"/>
          <w:lang w:eastAsia="et-EE"/>
        </w:rPr>
        <w:t xml:space="preserve">„Eesti elukestva õppe strateegia 2020“ </w:t>
      </w:r>
      <w:r w:rsidRPr="00D835B7">
        <w:rPr>
          <w:color w:val="000000"/>
          <w:lang w:eastAsia="et-EE"/>
        </w:rPr>
        <w:t>üldeesmärk on luua kõigile Eesti inimestele nende vajadustele ja võimetele vastavad õpivõimalused kogu elukaare jooksul, et tagada neile isiksusena väärika eneseteostuse.</w:t>
      </w:r>
    </w:p>
    <w:p w:rsidR="00D835B7" w:rsidRPr="00D835B7" w:rsidRDefault="00D835B7" w:rsidP="00D835B7">
      <w:pPr>
        <w:numPr>
          <w:ilvl w:val="0"/>
          <w:numId w:val="7"/>
        </w:numPr>
        <w:autoSpaceDE w:val="0"/>
        <w:autoSpaceDN w:val="0"/>
        <w:adjustRightInd w:val="0"/>
        <w:spacing w:after="30"/>
        <w:jc w:val="both"/>
        <w:rPr>
          <w:color w:val="000000"/>
          <w:lang w:eastAsia="et-EE"/>
        </w:rPr>
      </w:pPr>
      <w:r w:rsidRPr="00D835B7">
        <w:rPr>
          <w:b/>
          <w:bCs/>
          <w:color w:val="000000"/>
          <w:lang w:eastAsia="et-EE"/>
        </w:rPr>
        <w:t xml:space="preserve">„Noortevaldkonna arengukava“ </w:t>
      </w:r>
      <w:r w:rsidRPr="00D835B7">
        <w:rPr>
          <w:color w:val="000000"/>
          <w:lang w:eastAsia="et-EE"/>
        </w:rPr>
        <w:t xml:space="preserve">seab üheks eesmärgiks rohkem valikuid noorele oma loome- ja arengupotentsiaali avamiseks. See tähendab võimaluste suurendamist noorte loovuse arendamiseks, omaalgatuseks ja ühistegevuseks.  </w:t>
      </w:r>
    </w:p>
    <w:p w:rsidR="00D835B7" w:rsidRPr="00F8241C" w:rsidRDefault="00D835B7" w:rsidP="00F8241C">
      <w:pPr>
        <w:numPr>
          <w:ilvl w:val="0"/>
          <w:numId w:val="7"/>
        </w:numPr>
        <w:autoSpaceDE w:val="0"/>
        <w:autoSpaceDN w:val="0"/>
        <w:adjustRightInd w:val="0"/>
        <w:spacing w:after="30"/>
        <w:jc w:val="both"/>
        <w:rPr>
          <w:color w:val="000000"/>
          <w:lang w:eastAsia="et-EE"/>
        </w:rPr>
      </w:pPr>
      <w:r w:rsidRPr="00D835B7">
        <w:rPr>
          <w:color w:val="000000"/>
          <w:lang w:eastAsia="et-EE"/>
        </w:rPr>
        <w:lastRenderedPageBreak/>
        <w:t xml:space="preserve">Tegevused toetavad </w:t>
      </w:r>
      <w:r w:rsidRPr="00D835B7">
        <w:rPr>
          <w:b/>
          <w:bCs/>
          <w:color w:val="000000"/>
          <w:lang w:eastAsia="et-EE"/>
        </w:rPr>
        <w:t xml:space="preserve">„Teadus- ja tehnoloogiapakti“ </w:t>
      </w:r>
      <w:r w:rsidRPr="00D835B7">
        <w:rPr>
          <w:color w:val="000000"/>
          <w:lang w:eastAsia="et-EE"/>
        </w:rPr>
        <w:t>üldeesmärke: teadvustada teaduse, tehnoloogia ja inseneeria olulist rolli ühiskonna ja majanduse arengus; kaasata erinevaid osapooli ja nende ressursse valdkonna arengusse, õppimise edendamisse ja karjäärivõimaluste tutvustamisse, et kindlustada riiklike strateegiate eesmärkide täitmine lüh</w:t>
      </w:r>
      <w:r w:rsidR="00F8241C">
        <w:rPr>
          <w:color w:val="000000"/>
          <w:lang w:eastAsia="et-EE"/>
        </w:rPr>
        <w:t>ikeses ja pikas perspektiivis.</w:t>
      </w:r>
    </w:p>
    <w:p w:rsidR="00D835B7" w:rsidRPr="00D835B7" w:rsidRDefault="00D835B7" w:rsidP="00D835B7">
      <w:pPr>
        <w:autoSpaceDE w:val="0"/>
        <w:autoSpaceDN w:val="0"/>
        <w:adjustRightInd w:val="0"/>
        <w:jc w:val="both"/>
        <w:rPr>
          <w:b/>
        </w:rPr>
      </w:pPr>
    </w:p>
    <w:p w:rsidR="00D835B7" w:rsidRDefault="00D835B7" w:rsidP="00D835B7">
      <w:pPr>
        <w:autoSpaceDE w:val="0"/>
        <w:autoSpaceDN w:val="0"/>
        <w:adjustRightInd w:val="0"/>
        <w:jc w:val="both"/>
        <w:rPr>
          <w:color w:val="000000"/>
          <w:lang w:eastAsia="et-EE"/>
        </w:rPr>
      </w:pPr>
      <w:r w:rsidRPr="00D835B7">
        <w:t xml:space="preserve">Viimsis, </w:t>
      </w:r>
      <w:r w:rsidRPr="00D835B7">
        <w:rPr>
          <w:color w:val="000000"/>
          <w:lang w:eastAsia="et-EE"/>
        </w:rPr>
        <w:t xml:space="preserve">Eestis kui mujal maailmas tuntakse puudust inimestest, kes oleksid tegevad loodus-, täppisteaduste ja tehnoloogia valdkonnas. Kõik lapsed peavad saama hariduse kaudu võimaluse oma huvisid ja andeid maksimaalselt arendada ja rakendada - olgu see pillimäng, rahvatants, korvpall või robootika.  Eesti peab hakkama saama ülemaailmses konkurentsis ning selleks on vaja rohkem tipptasemel teadlasi ja insenere, aga ka keerukaid tehnoloogiad valdavaid töölisi ja spetsialiste.   Huvi tekitamist teaduse ja teadlase elukutse vastu ei tule alustada keskkoolis, vaid sellega tuleb tegeleda juba alg- ja põhikoolis.  Teadushuvilistel lastel peab olema võimalik oma andeid avastada ja arendada ning noorsootöös peab teadushuviharidus olema üheks valikuks kultuuri ja spordi kõrval. Luues tingimused teadushuviharidusega tegelemiseks juba algkoolis, suudame avastada laste anded, neid võimetekohaselt arendada, et meie riik saaks vaadata tulevikku helgema pilguga. </w:t>
      </w:r>
    </w:p>
    <w:p w:rsidR="00F8241C" w:rsidRPr="00D835B7" w:rsidRDefault="00F8241C" w:rsidP="00D835B7">
      <w:pPr>
        <w:autoSpaceDE w:val="0"/>
        <w:autoSpaceDN w:val="0"/>
        <w:adjustRightInd w:val="0"/>
        <w:jc w:val="both"/>
        <w:rPr>
          <w:color w:val="000000"/>
          <w:lang w:eastAsia="et-EE"/>
        </w:rPr>
      </w:pPr>
    </w:p>
    <w:p w:rsidR="00D835B7" w:rsidRPr="00D835B7" w:rsidRDefault="00D835B7" w:rsidP="00D835B7">
      <w:pPr>
        <w:autoSpaceDE w:val="0"/>
        <w:autoSpaceDN w:val="0"/>
        <w:adjustRightInd w:val="0"/>
        <w:jc w:val="both"/>
        <w:rPr>
          <w:color w:val="000000"/>
          <w:lang w:eastAsia="et-EE"/>
        </w:rPr>
      </w:pPr>
      <w:r w:rsidRPr="00D835B7">
        <w:rPr>
          <w:color w:val="000000"/>
          <w:lang w:eastAsia="et-EE"/>
        </w:rPr>
        <w:t xml:space="preserve">Soovime </w:t>
      </w:r>
      <w:r w:rsidR="00F8241C">
        <w:rPr>
          <w:color w:val="000000"/>
          <w:lang w:eastAsia="et-EE"/>
        </w:rPr>
        <w:t xml:space="preserve">Viimsis vallas </w:t>
      </w:r>
      <w:r w:rsidRPr="00D835B7">
        <w:rPr>
          <w:color w:val="000000"/>
          <w:lang w:eastAsia="et-EE"/>
        </w:rPr>
        <w:t xml:space="preserve">luua tingimused LTT valdkonnaga tegelemiseks kõikidele huvilistele, sõltumata soost, päritolust, hariduslikust erivajadusest, usulistest tõekspidamistest, sotsiaalmajanduslikust taustast jne. Mida varem saavad noored võimaluse kokku puutuda erinevate valdkondadega, seda kindlamini nad teevad tulevikus õigeid otsuseid karjäärivaliku osas. </w:t>
      </w:r>
    </w:p>
    <w:p w:rsidR="00D835B7" w:rsidRPr="00D835B7" w:rsidRDefault="00D835B7" w:rsidP="00D835B7">
      <w:pPr>
        <w:autoSpaceDE w:val="0"/>
        <w:autoSpaceDN w:val="0"/>
        <w:adjustRightInd w:val="0"/>
        <w:jc w:val="both"/>
        <w:rPr>
          <w:color w:val="000000"/>
          <w:lang w:eastAsia="et-EE"/>
        </w:rPr>
      </w:pPr>
    </w:p>
    <w:p w:rsidR="00D835B7" w:rsidRPr="00D835B7" w:rsidRDefault="00D835B7" w:rsidP="00D835B7">
      <w:pPr>
        <w:autoSpaceDE w:val="0"/>
        <w:autoSpaceDN w:val="0"/>
        <w:adjustRightInd w:val="0"/>
        <w:jc w:val="both"/>
        <w:rPr>
          <w:color w:val="000000"/>
          <w:lang w:eastAsia="et-EE"/>
        </w:rPr>
      </w:pPr>
      <w:r w:rsidRPr="00D835B7">
        <w:rPr>
          <w:color w:val="000000"/>
          <w:lang w:eastAsia="et-EE"/>
        </w:rPr>
        <w:t xml:space="preserve">Teadushuviringide töös osalemisel saavad noored panna ise käed külge, luua seoseid igapäevaeluga ja see tekitab neis tunde, et LTT on midagi huvitavat ja nauditavat. Uuringud on tõestanud, et mida rohkem on noored LTT valdkonnaga tegelenud ja kokku puutunud, seda suurem on nende motivatsioon õppida nimetatud erialasid. </w:t>
      </w:r>
    </w:p>
    <w:p w:rsidR="00D835B7" w:rsidRPr="00D835B7" w:rsidRDefault="00D835B7" w:rsidP="00D835B7">
      <w:pPr>
        <w:autoSpaceDE w:val="0"/>
        <w:autoSpaceDN w:val="0"/>
        <w:adjustRightInd w:val="0"/>
        <w:jc w:val="both"/>
        <w:rPr>
          <w:color w:val="000000"/>
          <w:lang w:eastAsia="et-EE"/>
        </w:rPr>
      </w:pPr>
    </w:p>
    <w:p w:rsidR="00D835B7" w:rsidRPr="00D835B7" w:rsidRDefault="00D835B7" w:rsidP="00D835B7">
      <w:pPr>
        <w:autoSpaceDE w:val="0"/>
        <w:autoSpaceDN w:val="0"/>
        <w:adjustRightInd w:val="0"/>
        <w:jc w:val="both"/>
        <w:rPr>
          <w:color w:val="000000"/>
          <w:lang w:eastAsia="et-EE"/>
        </w:rPr>
      </w:pPr>
      <w:r w:rsidRPr="00D835B7">
        <w:rPr>
          <w:color w:val="000000"/>
          <w:lang w:eastAsia="et-EE"/>
        </w:rPr>
        <w:t xml:space="preserve">Huvikooli Teadmiskeskus Collegium Eruditionis eesmärgid on: </w:t>
      </w:r>
    </w:p>
    <w:p w:rsidR="00D835B7" w:rsidRPr="00D835B7" w:rsidRDefault="00D835B7" w:rsidP="00D835B7">
      <w:pPr>
        <w:autoSpaceDE w:val="0"/>
        <w:autoSpaceDN w:val="0"/>
        <w:adjustRightInd w:val="0"/>
        <w:jc w:val="both"/>
        <w:rPr>
          <w:color w:val="000000"/>
          <w:lang w:eastAsia="et-EE"/>
        </w:rPr>
      </w:pPr>
    </w:p>
    <w:p w:rsidR="00D835B7" w:rsidRPr="00D835B7" w:rsidRDefault="00D835B7" w:rsidP="00D835B7">
      <w:pPr>
        <w:numPr>
          <w:ilvl w:val="0"/>
          <w:numId w:val="7"/>
        </w:numPr>
        <w:autoSpaceDE w:val="0"/>
        <w:autoSpaceDN w:val="0"/>
        <w:adjustRightInd w:val="0"/>
        <w:spacing w:after="18"/>
        <w:jc w:val="both"/>
        <w:rPr>
          <w:color w:val="000000"/>
          <w:lang w:eastAsia="et-EE"/>
        </w:rPr>
      </w:pPr>
      <w:r w:rsidRPr="00D835B7">
        <w:rPr>
          <w:color w:val="000000"/>
          <w:lang w:eastAsia="et-EE"/>
        </w:rPr>
        <w:t xml:space="preserve">noortes kultuuri-, humanitaar-, loodus-, täppisteaduste ja tehnoloogia valdkonna vastu huvi tekitamine, selle hoidmine ja sihikindel arendamine; </w:t>
      </w:r>
    </w:p>
    <w:p w:rsidR="00D835B7" w:rsidRPr="00D835B7" w:rsidRDefault="00D835B7" w:rsidP="00D835B7">
      <w:pPr>
        <w:numPr>
          <w:ilvl w:val="0"/>
          <w:numId w:val="7"/>
        </w:numPr>
        <w:autoSpaceDE w:val="0"/>
        <w:autoSpaceDN w:val="0"/>
        <w:adjustRightInd w:val="0"/>
        <w:spacing w:after="18"/>
        <w:jc w:val="both"/>
        <w:rPr>
          <w:color w:val="000000"/>
          <w:lang w:eastAsia="et-EE"/>
        </w:rPr>
      </w:pPr>
      <w:r w:rsidRPr="00D835B7">
        <w:rPr>
          <w:color w:val="000000"/>
          <w:lang w:eastAsia="et-EE"/>
        </w:rPr>
        <w:t xml:space="preserve">inspireeriva arengukeskkonna kaudu pakkuda võimalusi nii eneseteostuslikuks kui ka vaimseks arenguks teadushuviringides; </w:t>
      </w:r>
    </w:p>
    <w:p w:rsidR="00D835B7" w:rsidRPr="00D835B7" w:rsidRDefault="00D835B7" w:rsidP="00D835B7">
      <w:pPr>
        <w:numPr>
          <w:ilvl w:val="0"/>
          <w:numId w:val="7"/>
        </w:numPr>
        <w:autoSpaceDE w:val="0"/>
        <w:autoSpaceDN w:val="0"/>
        <w:adjustRightInd w:val="0"/>
        <w:spacing w:after="18"/>
        <w:jc w:val="both"/>
        <w:rPr>
          <w:color w:val="000000"/>
          <w:lang w:eastAsia="et-EE"/>
        </w:rPr>
      </w:pPr>
      <w:r w:rsidRPr="00D835B7">
        <w:rPr>
          <w:color w:val="000000"/>
          <w:lang w:eastAsia="et-EE"/>
        </w:rPr>
        <w:t xml:space="preserve">arendada noorte võõrkeelteoskusi ja kultuurilist maailmapilti; </w:t>
      </w:r>
    </w:p>
    <w:p w:rsidR="00D835B7" w:rsidRPr="00D835B7" w:rsidRDefault="00D835B7" w:rsidP="00D835B7">
      <w:pPr>
        <w:numPr>
          <w:ilvl w:val="0"/>
          <w:numId w:val="7"/>
        </w:numPr>
        <w:autoSpaceDE w:val="0"/>
        <w:autoSpaceDN w:val="0"/>
        <w:adjustRightInd w:val="0"/>
        <w:spacing w:after="18"/>
        <w:jc w:val="both"/>
        <w:rPr>
          <w:color w:val="000000"/>
          <w:lang w:eastAsia="et-EE"/>
        </w:rPr>
      </w:pPr>
      <w:r w:rsidRPr="00D835B7">
        <w:rPr>
          <w:color w:val="000000"/>
          <w:lang w:eastAsia="et-EE"/>
        </w:rPr>
        <w:t xml:space="preserve">korraldada teaduse vastu huvi tekitamiseks ning noorte loovuse ja annete avastamiseks erinevaid konkursse, võistlusi, teaduspäevi/laagreid ja projekte; </w:t>
      </w:r>
    </w:p>
    <w:p w:rsidR="00D835B7" w:rsidRPr="00D835B7" w:rsidRDefault="00D835B7" w:rsidP="00D835B7">
      <w:pPr>
        <w:numPr>
          <w:ilvl w:val="0"/>
          <w:numId w:val="7"/>
        </w:numPr>
        <w:autoSpaceDE w:val="0"/>
        <w:autoSpaceDN w:val="0"/>
        <w:adjustRightInd w:val="0"/>
        <w:spacing w:after="18"/>
        <w:jc w:val="both"/>
        <w:rPr>
          <w:color w:val="000000"/>
          <w:lang w:eastAsia="et-EE"/>
        </w:rPr>
      </w:pPr>
      <w:r w:rsidRPr="00D835B7">
        <w:rPr>
          <w:color w:val="000000"/>
          <w:lang w:eastAsia="et-EE"/>
        </w:rPr>
        <w:t xml:space="preserve">toetada tehnoloogilise arengu ja keskkonna jätkusuutlikkust ning piirkondlike traditsioonide arengut; </w:t>
      </w:r>
    </w:p>
    <w:p w:rsidR="00D835B7" w:rsidRPr="00D835B7" w:rsidRDefault="00D835B7" w:rsidP="00D835B7">
      <w:pPr>
        <w:numPr>
          <w:ilvl w:val="0"/>
          <w:numId w:val="7"/>
        </w:numPr>
        <w:autoSpaceDE w:val="0"/>
        <w:autoSpaceDN w:val="0"/>
        <w:adjustRightInd w:val="0"/>
        <w:spacing w:after="18"/>
        <w:jc w:val="both"/>
        <w:rPr>
          <w:color w:val="000000"/>
          <w:lang w:eastAsia="et-EE"/>
        </w:rPr>
      </w:pPr>
      <w:r w:rsidRPr="00D835B7">
        <w:rPr>
          <w:color w:val="000000"/>
          <w:lang w:eastAsia="et-EE"/>
        </w:rPr>
        <w:t xml:space="preserve">viia ellu teadus- ja tehnoloogiapakti tegevusi. </w:t>
      </w:r>
    </w:p>
    <w:p w:rsidR="00D835B7" w:rsidRPr="00D835B7" w:rsidRDefault="00D835B7" w:rsidP="00D835B7">
      <w:pPr>
        <w:autoSpaceDE w:val="0"/>
        <w:autoSpaceDN w:val="0"/>
        <w:adjustRightInd w:val="0"/>
        <w:jc w:val="both"/>
        <w:rPr>
          <w:color w:val="000000"/>
          <w:lang w:eastAsia="et-EE"/>
        </w:rPr>
      </w:pPr>
    </w:p>
    <w:p w:rsidR="00D835B7" w:rsidRPr="00D835B7" w:rsidRDefault="00D835B7" w:rsidP="00D835B7">
      <w:pPr>
        <w:autoSpaceDE w:val="0"/>
        <w:autoSpaceDN w:val="0"/>
        <w:adjustRightInd w:val="0"/>
        <w:jc w:val="both"/>
        <w:rPr>
          <w:color w:val="000000"/>
          <w:lang w:eastAsia="et-EE"/>
        </w:rPr>
      </w:pPr>
      <w:r w:rsidRPr="00D835B7">
        <w:rPr>
          <w:color w:val="000000"/>
          <w:lang w:eastAsia="et-EE"/>
        </w:rPr>
        <w:t>Teadmiskeskuse Collegium Eruditionis tegevus loodus-, täppisteaduste ja tehnoloogia valdkonna tutvustamisel on pälvinud aastate jooksul mitmeid riiklikke tunnustusi.:</w:t>
      </w:r>
    </w:p>
    <w:p w:rsidR="00D835B7" w:rsidRPr="00D835B7" w:rsidRDefault="00D835B7" w:rsidP="00D835B7">
      <w:pPr>
        <w:autoSpaceDE w:val="0"/>
        <w:autoSpaceDN w:val="0"/>
        <w:adjustRightInd w:val="0"/>
        <w:jc w:val="both"/>
        <w:rPr>
          <w:color w:val="000000"/>
          <w:lang w:eastAsia="et-EE"/>
        </w:rPr>
      </w:pPr>
    </w:p>
    <w:p w:rsidR="00D835B7" w:rsidRPr="00D835B7" w:rsidRDefault="00D835B7" w:rsidP="00D835B7">
      <w:pPr>
        <w:numPr>
          <w:ilvl w:val="0"/>
          <w:numId w:val="6"/>
        </w:numPr>
        <w:autoSpaceDE w:val="0"/>
        <w:autoSpaceDN w:val="0"/>
        <w:adjustRightInd w:val="0"/>
        <w:jc w:val="both"/>
        <w:rPr>
          <w:color w:val="000000"/>
          <w:lang w:eastAsia="et-EE"/>
        </w:rPr>
      </w:pPr>
      <w:r w:rsidRPr="00D835B7">
        <w:rPr>
          <w:color w:val="000000"/>
          <w:lang w:eastAsia="et-EE"/>
        </w:rPr>
        <w:t xml:space="preserve"> 2012. aastal pälvis teadmiskeskus </w:t>
      </w:r>
      <w:r w:rsidRPr="00D835B7">
        <w:rPr>
          <w:i/>
          <w:iCs/>
          <w:color w:val="000000"/>
          <w:lang w:eastAsia="et-EE"/>
        </w:rPr>
        <w:t xml:space="preserve">Collegium Eruditionis </w:t>
      </w:r>
      <w:r w:rsidRPr="00D835B7">
        <w:rPr>
          <w:color w:val="000000"/>
          <w:lang w:eastAsia="et-EE"/>
        </w:rPr>
        <w:t xml:space="preserve">SA Eesti Teadusagentuuri, HTM-i ja Eesti Teaduste Akadeemia tunnustuse teaduse populariseerimise eest. Antud tunnustus annab   võimaluse kasutada tunnusmärki „riiklikult tunnustatud teaduse </w:t>
      </w:r>
      <w:r w:rsidRPr="00D835B7">
        <w:rPr>
          <w:color w:val="000000"/>
          <w:lang w:eastAsia="et-EE"/>
        </w:rPr>
        <w:lastRenderedPageBreak/>
        <w:t xml:space="preserve">populariseerija“, mis on riiklik kvaliteedimärk teaduse ja tehnoloogia populariseerimise eest. </w:t>
      </w:r>
    </w:p>
    <w:p w:rsidR="00D835B7" w:rsidRPr="00D835B7" w:rsidRDefault="00D835B7" w:rsidP="00D835B7">
      <w:pPr>
        <w:numPr>
          <w:ilvl w:val="0"/>
          <w:numId w:val="6"/>
        </w:numPr>
        <w:autoSpaceDE w:val="0"/>
        <w:autoSpaceDN w:val="0"/>
        <w:adjustRightInd w:val="0"/>
        <w:jc w:val="both"/>
        <w:rPr>
          <w:color w:val="000000"/>
          <w:lang w:eastAsia="et-EE"/>
        </w:rPr>
      </w:pPr>
      <w:r w:rsidRPr="00D835B7">
        <w:rPr>
          <w:color w:val="000000"/>
          <w:lang w:eastAsia="et-EE"/>
        </w:rPr>
        <w:t xml:space="preserve">2013. aastal tunnustas Harju maavalitsus teadmiskeskus </w:t>
      </w:r>
      <w:r w:rsidRPr="00D835B7">
        <w:rPr>
          <w:i/>
          <w:iCs/>
          <w:color w:val="000000"/>
          <w:lang w:eastAsia="et-EE"/>
        </w:rPr>
        <w:t xml:space="preserve">Collegium Eruditionis </w:t>
      </w:r>
      <w:r w:rsidRPr="00D835B7">
        <w:rPr>
          <w:color w:val="000000"/>
          <w:lang w:eastAsia="et-EE"/>
        </w:rPr>
        <w:t xml:space="preserve">tegevust noorsootöö valdkonnas laureaadi tiitliga „Aasta tegu 2013“.  </w:t>
      </w:r>
    </w:p>
    <w:p w:rsidR="00D835B7" w:rsidRPr="00D835B7" w:rsidRDefault="00D835B7" w:rsidP="00D835B7">
      <w:pPr>
        <w:numPr>
          <w:ilvl w:val="0"/>
          <w:numId w:val="6"/>
        </w:numPr>
        <w:autoSpaceDE w:val="0"/>
        <w:autoSpaceDN w:val="0"/>
        <w:adjustRightInd w:val="0"/>
        <w:jc w:val="both"/>
        <w:rPr>
          <w:color w:val="000000"/>
          <w:lang w:eastAsia="et-EE"/>
        </w:rPr>
      </w:pPr>
      <w:r w:rsidRPr="00D835B7">
        <w:rPr>
          <w:color w:val="000000"/>
          <w:lang w:eastAsia="et-EE"/>
        </w:rPr>
        <w:t xml:space="preserve">2013. aastal tunnustas HTM ja Eesti Noorsootöö Keskus teadmiskeskuse tegevust noorsootöö valdkonnas aunimetusega „Aasta tegu 2013“ ja ühtlasi oldi noortest moodustatud komisjoni lemmik. </w:t>
      </w:r>
      <w:hyperlink r:id="rId5" w:history="1">
        <w:r w:rsidRPr="00D835B7">
          <w:rPr>
            <w:color w:val="0000FF"/>
            <w:u w:val="single"/>
            <w:lang w:eastAsia="et-EE"/>
          </w:rPr>
          <w:t>http://euroopa.noored.ee/telepurk/1393527360/Aasta-tegu-III-laureaat-Collegium-Eruditionis.-2013</w:t>
        </w:r>
      </w:hyperlink>
    </w:p>
    <w:p w:rsidR="00D835B7" w:rsidRPr="00D835B7" w:rsidRDefault="00D835B7" w:rsidP="00D835B7">
      <w:pPr>
        <w:numPr>
          <w:ilvl w:val="0"/>
          <w:numId w:val="6"/>
        </w:numPr>
        <w:autoSpaceDE w:val="0"/>
        <w:autoSpaceDN w:val="0"/>
        <w:adjustRightInd w:val="0"/>
        <w:jc w:val="both"/>
        <w:rPr>
          <w:color w:val="000000"/>
          <w:lang w:eastAsia="et-EE"/>
        </w:rPr>
      </w:pPr>
      <w:r w:rsidRPr="00D835B7">
        <w:rPr>
          <w:color w:val="000000"/>
          <w:lang w:eastAsia="et-EE"/>
        </w:rPr>
        <w:t xml:space="preserve">2014 üleriigilisel Aasta Õpetaja auhinnagalal "Eestimaa õpib ja tänab" kuulutati Aasta haridusteoks Viimsi Keskkooli teadmiskeskus </w:t>
      </w:r>
      <w:r w:rsidRPr="00D835B7">
        <w:rPr>
          <w:i/>
          <w:iCs/>
          <w:color w:val="000000"/>
          <w:lang w:eastAsia="et-EE"/>
        </w:rPr>
        <w:t>Collegium Eruditionis</w:t>
      </w:r>
      <w:r w:rsidRPr="00D835B7">
        <w:rPr>
          <w:color w:val="000000"/>
          <w:lang w:eastAsia="et-EE"/>
        </w:rPr>
        <w:t xml:space="preserve">. Viimsi Keskkooli teadmiskeskus </w:t>
      </w:r>
      <w:r w:rsidRPr="00D835B7">
        <w:rPr>
          <w:i/>
          <w:iCs/>
          <w:color w:val="000000"/>
          <w:lang w:eastAsia="et-EE"/>
        </w:rPr>
        <w:t xml:space="preserve">Collegium Eruditionis </w:t>
      </w:r>
      <w:r w:rsidRPr="00D835B7">
        <w:rPr>
          <w:color w:val="000000"/>
          <w:lang w:eastAsia="et-EE"/>
        </w:rPr>
        <w:t xml:space="preserve">toob lastele sära silma ning paneb ka õpetajad ja lapsevanemad vaimustuma, sest aitab tuua teadust laste igapäevastesse toimetustesse. </w:t>
      </w:r>
      <w:hyperlink r:id="rId6" w:history="1">
        <w:r w:rsidRPr="00D835B7">
          <w:rPr>
            <w:color w:val="0000FF"/>
            <w:u w:val="single"/>
            <w:lang w:eastAsia="et-EE"/>
          </w:rPr>
          <w:t>http://www.hm.ee/sites/default/files/teadmiskeskus_collegium_eruditionis.pdf</w:t>
        </w:r>
      </w:hyperlink>
      <w:r w:rsidRPr="00D835B7">
        <w:rPr>
          <w:color w:val="000000"/>
          <w:lang w:eastAsia="et-EE"/>
        </w:rPr>
        <w:t xml:space="preserve"> </w:t>
      </w:r>
    </w:p>
    <w:p w:rsidR="00D835B7" w:rsidRPr="00D835B7" w:rsidRDefault="00A73164" w:rsidP="00D835B7">
      <w:pPr>
        <w:autoSpaceDE w:val="0"/>
        <w:autoSpaceDN w:val="0"/>
        <w:adjustRightInd w:val="0"/>
        <w:ind w:left="720"/>
        <w:jc w:val="both"/>
        <w:rPr>
          <w:color w:val="000000"/>
          <w:lang w:eastAsia="et-EE"/>
        </w:rPr>
      </w:pPr>
      <w:hyperlink r:id="rId7" w:history="1">
        <w:r w:rsidR="00D835B7" w:rsidRPr="00D835B7">
          <w:rPr>
            <w:color w:val="0000FF"/>
            <w:u w:val="single"/>
            <w:lang w:eastAsia="et-EE"/>
          </w:rPr>
          <w:t>http://www.youtube.com/watch?v=xaJKSf_ZeZw</w:t>
        </w:r>
      </w:hyperlink>
    </w:p>
    <w:p w:rsidR="00D835B7" w:rsidRPr="00D835B7" w:rsidRDefault="00D835B7" w:rsidP="00D835B7">
      <w:pPr>
        <w:numPr>
          <w:ilvl w:val="0"/>
          <w:numId w:val="6"/>
        </w:numPr>
        <w:autoSpaceDE w:val="0"/>
        <w:autoSpaceDN w:val="0"/>
        <w:adjustRightInd w:val="0"/>
        <w:jc w:val="both"/>
        <w:rPr>
          <w:color w:val="000000"/>
          <w:lang w:eastAsia="et-EE"/>
        </w:rPr>
      </w:pPr>
      <w:r w:rsidRPr="00D835B7">
        <w:rPr>
          <w:color w:val="000000"/>
          <w:lang w:eastAsia="et-EE"/>
        </w:rPr>
        <w:t xml:space="preserve">Teadmiskeskus Collegium Eruditionis oli üks teadus- ja tehnoloogiapakti algataja: </w:t>
      </w:r>
      <w:hyperlink r:id="rId8" w:history="1">
        <w:r w:rsidRPr="00D835B7">
          <w:rPr>
            <w:color w:val="0000FF"/>
            <w:u w:val="single"/>
            <w:lang w:eastAsia="et-EE"/>
          </w:rPr>
          <w:t>http://www.etag.ee/teadus-ja-tehnoloogiapaktiga-kaasatakse-valdkonna-arendamisse-erinevad-osapooled/</w:t>
        </w:r>
      </w:hyperlink>
      <w:r w:rsidRPr="00D835B7">
        <w:rPr>
          <w:color w:val="000000"/>
          <w:lang w:eastAsia="et-EE"/>
        </w:rPr>
        <w:t xml:space="preserve"> </w:t>
      </w:r>
    </w:p>
    <w:p w:rsidR="00D835B7" w:rsidRPr="00D835B7" w:rsidRDefault="00D835B7" w:rsidP="00D835B7">
      <w:pPr>
        <w:numPr>
          <w:ilvl w:val="0"/>
          <w:numId w:val="6"/>
        </w:numPr>
        <w:autoSpaceDE w:val="0"/>
        <w:autoSpaceDN w:val="0"/>
        <w:adjustRightInd w:val="0"/>
        <w:jc w:val="both"/>
        <w:rPr>
          <w:color w:val="000000"/>
          <w:lang w:eastAsia="et-EE"/>
        </w:rPr>
      </w:pPr>
      <w:r w:rsidRPr="00D835B7">
        <w:rPr>
          <w:color w:val="000000"/>
          <w:lang w:eastAsia="et-EE"/>
        </w:rPr>
        <w:t xml:space="preserve">Teadmiskeksus on teadus- ja tehnoloogiapakti nõukoja liige. </w:t>
      </w:r>
    </w:p>
    <w:p w:rsidR="00D835B7" w:rsidRPr="00D835B7" w:rsidRDefault="00D835B7" w:rsidP="00D835B7">
      <w:pPr>
        <w:numPr>
          <w:ilvl w:val="0"/>
          <w:numId w:val="6"/>
        </w:numPr>
        <w:autoSpaceDE w:val="0"/>
        <w:autoSpaceDN w:val="0"/>
        <w:adjustRightInd w:val="0"/>
        <w:jc w:val="both"/>
        <w:rPr>
          <w:color w:val="000000"/>
          <w:lang w:eastAsia="et-EE"/>
        </w:rPr>
      </w:pPr>
      <w:r w:rsidRPr="00D835B7">
        <w:rPr>
          <w:color w:val="000000"/>
          <w:lang w:eastAsia="et-EE"/>
        </w:rPr>
        <w:t xml:space="preserve">Alates 2015. aastast on Teadmiskeskus Collegium Eruditionis pilootprojekti EESTI2.0 liige, mille eesmärgiks on inspireerida koolinoori valima tehnoloogiapõhist tulevikku </w:t>
      </w:r>
      <w:hyperlink r:id="rId9" w:history="1">
        <w:r w:rsidRPr="00D835B7">
          <w:rPr>
            <w:color w:val="0000FF"/>
            <w:u w:val="single"/>
            <w:lang w:eastAsia="et-EE"/>
          </w:rPr>
          <w:t>http://www.eesti2.ee/</w:t>
        </w:r>
      </w:hyperlink>
    </w:p>
    <w:p w:rsidR="00D835B7" w:rsidRPr="00D835B7" w:rsidRDefault="00D835B7" w:rsidP="00D835B7">
      <w:pPr>
        <w:numPr>
          <w:ilvl w:val="0"/>
          <w:numId w:val="6"/>
        </w:numPr>
        <w:autoSpaceDE w:val="0"/>
        <w:autoSpaceDN w:val="0"/>
        <w:adjustRightInd w:val="0"/>
        <w:jc w:val="both"/>
        <w:rPr>
          <w:color w:val="000000"/>
          <w:lang w:eastAsia="et-EE"/>
        </w:rPr>
      </w:pPr>
      <w:r w:rsidRPr="00D835B7">
        <w:rPr>
          <w:color w:val="000000"/>
          <w:lang w:eastAsia="et-EE"/>
        </w:rPr>
        <w:t xml:space="preserve"> 2016. aastast on Teadmiskeskus Collegium Eruditionis Eesti Teadushuvihariduse Liidu asutaja </w:t>
      </w:r>
      <w:hyperlink r:id="rId10" w:history="1">
        <w:r w:rsidRPr="00D835B7">
          <w:rPr>
            <w:color w:val="0000FF"/>
            <w:u w:val="single"/>
            <w:lang w:eastAsia="et-EE"/>
          </w:rPr>
          <w:t>http://www.teadushuvi.ee/</w:t>
        </w:r>
      </w:hyperlink>
    </w:p>
    <w:p w:rsidR="00D835B7" w:rsidRPr="00F8241C" w:rsidRDefault="00D835B7" w:rsidP="00F8241C">
      <w:pPr>
        <w:numPr>
          <w:ilvl w:val="0"/>
          <w:numId w:val="6"/>
        </w:numPr>
        <w:autoSpaceDE w:val="0"/>
        <w:autoSpaceDN w:val="0"/>
        <w:adjustRightInd w:val="0"/>
        <w:jc w:val="both"/>
        <w:rPr>
          <w:color w:val="000000"/>
          <w:lang w:eastAsia="et-EE"/>
        </w:rPr>
      </w:pPr>
      <w:r w:rsidRPr="00D835B7">
        <w:rPr>
          <w:color w:val="000000"/>
          <w:lang w:eastAsia="et-EE"/>
        </w:rPr>
        <w:t xml:space="preserve">Lisaks mitmekesisele teadushuviharidusele, on teadmiskeskus loonud   väljundeid teadusandekatele õpilastele: leiutajatekonkurss, Viimsi vallaprogrammeerimisvõistlus Viimsi progeja – kood on põnev kasulik, inseneriülesannete lahendamise võistlus, Viimsi valla lahtised matemaatikavõistlused 3. klassidele, koolidevahelised mälumängumeistrivõistlused, animafilmide konkurss jne. </w:t>
      </w:r>
    </w:p>
    <w:p w:rsidR="00D835B7" w:rsidRPr="00D835B7" w:rsidRDefault="00D835B7" w:rsidP="00D835B7">
      <w:pPr>
        <w:rPr>
          <w:b/>
        </w:rPr>
      </w:pPr>
    </w:p>
    <w:p w:rsidR="00D835B7" w:rsidRPr="00F8241C" w:rsidRDefault="00D835B7" w:rsidP="00F8241C">
      <w:pPr>
        <w:jc w:val="both"/>
      </w:pPr>
      <w:r w:rsidRPr="00D835B7">
        <w:t>MTÜ Teadmiskeskus Collegium Eruditonis on üks  suurimaid teadushuvihariduse pakkujaid Eestis  ning  võimaldatud tegevustest saavad o</w:t>
      </w:r>
      <w:r w:rsidR="00776F1D">
        <w:t xml:space="preserve">sa paljud Viimsi valla noored. </w:t>
      </w:r>
      <w:r w:rsidRPr="00D835B7">
        <w:t>Huvikooli erinevates tegevustes osaleb ligi 800 Viimsi valla last ja noort.</w:t>
      </w:r>
      <w:r w:rsidR="00F8241C">
        <w:rPr>
          <w:b/>
        </w:rPr>
        <w:t xml:space="preserve"> </w:t>
      </w:r>
    </w:p>
    <w:p w:rsidR="00D835B7" w:rsidRPr="00D835B7" w:rsidRDefault="00D835B7" w:rsidP="00D835B7">
      <w:pPr>
        <w:jc w:val="both"/>
        <w:rPr>
          <w:b/>
        </w:rPr>
      </w:pPr>
    </w:p>
    <w:p w:rsidR="00D835B7" w:rsidRPr="00D835B7" w:rsidRDefault="00D835B7" w:rsidP="00D835B7">
      <w:pPr>
        <w:jc w:val="both"/>
      </w:pPr>
      <w:r w:rsidRPr="00D835B7">
        <w:t>Nelja aastane l</w:t>
      </w:r>
      <w:r w:rsidR="00776F1D">
        <w:t>eping võimaldab MTÜ-</w:t>
      </w:r>
      <w:r w:rsidR="00840A0B">
        <w:t>l Teadmiskeskus</w:t>
      </w:r>
      <w:r w:rsidRPr="00D835B7">
        <w:t xml:space="preserve"> Collegium Eruditonis oma tegevust paremini kavandada ja planeerida. Juhendajatel on kindlustunne ja võimalus teha pikemaid plaane.</w:t>
      </w:r>
    </w:p>
    <w:p w:rsidR="00D835B7" w:rsidRPr="00D835B7" w:rsidRDefault="00D835B7" w:rsidP="00D835B7">
      <w:pPr>
        <w:jc w:val="both"/>
      </w:pPr>
    </w:p>
    <w:p w:rsidR="00D835B7" w:rsidRPr="00D835B7" w:rsidRDefault="00D835B7" w:rsidP="00D835B7">
      <w:pPr>
        <w:autoSpaceDE w:val="0"/>
        <w:autoSpaceDN w:val="0"/>
        <w:adjustRightInd w:val="0"/>
        <w:jc w:val="both"/>
        <w:rPr>
          <w:color w:val="000000"/>
          <w:lang w:eastAsia="et-EE"/>
        </w:rPr>
      </w:pPr>
      <w:r w:rsidRPr="00D835B7">
        <w:rPr>
          <w:color w:val="000000"/>
          <w:lang w:eastAsia="et-EE"/>
        </w:rPr>
        <w:t xml:space="preserve">Toetuse abil saab huvikool osaliselt ära katta juhendajate töötasud, ringitöö kulumaterjalid, osalemised erinevatel võistlustel, festivalidel ning juhendajate koolituskulud. Valla toetus võimaldab huvikoolil hoida õppemaks lapsevanemale taskukohasena (keskmine kuutasu on 15€), et ükski soovija ei peaks loobuma on huvist majanduslikel kaalutlustel. </w:t>
      </w:r>
    </w:p>
    <w:p w:rsidR="00D835B7" w:rsidRPr="00D835B7" w:rsidRDefault="00D835B7" w:rsidP="00D835B7">
      <w:pPr>
        <w:jc w:val="both"/>
        <w:rPr>
          <w:i/>
        </w:rPr>
      </w:pPr>
      <w:r w:rsidRPr="00D835B7">
        <w:t xml:space="preserve"> </w:t>
      </w:r>
    </w:p>
    <w:p w:rsidR="00D835B7" w:rsidRPr="00F8241C" w:rsidRDefault="00D835B7" w:rsidP="00F8241C">
      <w:pPr>
        <w:jc w:val="both"/>
        <w:rPr>
          <w:b/>
        </w:rPr>
      </w:pPr>
      <w:r w:rsidRPr="00D835B7">
        <w:t xml:space="preserve">Teadmiskeskus Collegium Eruditonis tegevust on toetatud valla eelarve kaudu. Aastatoetus on pidevalt kasvanud, kuna tegevused on laienenud ja osalevate noorte arv on pidevalt suurenenud. Aastatoetus 2016.a.  oli 20 000 euroni ja 2017.a. 25 000 eurot. </w:t>
      </w:r>
      <w:r w:rsidRPr="00F8241C">
        <w:t>2018.a.</w:t>
      </w:r>
      <w:r w:rsidR="00F8241C" w:rsidRPr="00F8241C">
        <w:t xml:space="preserve"> eelarves on ettenähtud toetus 40 000 eurot ning edaspidi vähemalt 40 000 e</w:t>
      </w:r>
      <w:r w:rsidR="00F8241C">
        <w:t>urot, kuid summa vaadatakse igal aastal uuesti üle.</w:t>
      </w:r>
    </w:p>
    <w:p w:rsidR="00D835B7" w:rsidRPr="00D835B7" w:rsidRDefault="00D835B7" w:rsidP="00F8241C">
      <w:pPr>
        <w:jc w:val="both"/>
      </w:pPr>
    </w:p>
    <w:p w:rsidR="00D835B7" w:rsidRPr="00F8241C" w:rsidRDefault="00D835B7" w:rsidP="00F8241C">
      <w:r w:rsidRPr="00D835B7">
        <w:t>Otsuse rakendamiseks nähakse ette eelarves kulud 2018.a. – 2021.a.</w:t>
      </w:r>
    </w:p>
    <w:p w:rsidR="00D835B7" w:rsidRPr="00D835B7" w:rsidRDefault="00D835B7" w:rsidP="00D835B7"/>
    <w:p w:rsidR="00D835B7" w:rsidRPr="00D835B7" w:rsidRDefault="00D835B7" w:rsidP="00D835B7">
      <w:pPr>
        <w:jc w:val="both"/>
        <w:rPr>
          <w:noProof/>
        </w:rPr>
      </w:pPr>
      <w:r w:rsidRPr="00D835B7">
        <w:rPr>
          <w:noProof/>
        </w:rPr>
        <w:lastRenderedPageBreak/>
        <w:t>Viimsi Vallavolikogu otsuse eelnõu on kooskõl</w:t>
      </w:r>
      <w:r w:rsidR="00F8241C">
        <w:rPr>
          <w:noProof/>
        </w:rPr>
        <w:t>astataud Viimsi Vallavalitsuse 16.</w:t>
      </w:r>
      <w:r w:rsidRPr="00D835B7">
        <w:rPr>
          <w:noProof/>
        </w:rPr>
        <w:t xml:space="preserve"> jaanuari 2018.a. istungil, Viimsi Vallavolikogu noorsoo- ja hariduskomisjoni 10. jaanuaril 2018.a. toimunud koosolekul.</w:t>
      </w:r>
    </w:p>
    <w:tbl>
      <w:tblPr>
        <w:tblW w:w="0" w:type="auto"/>
        <w:tblLayout w:type="fixed"/>
        <w:tblLook w:val="0000" w:firstRow="0" w:lastRow="0" w:firstColumn="0" w:lastColumn="0" w:noHBand="0" w:noVBand="0"/>
      </w:tblPr>
      <w:tblGrid>
        <w:gridCol w:w="9108"/>
      </w:tblGrid>
      <w:tr w:rsidR="00D835B7" w:rsidRPr="00D835B7" w:rsidTr="00920C52">
        <w:trPr>
          <w:cantSplit/>
        </w:trPr>
        <w:tc>
          <w:tcPr>
            <w:tcW w:w="9108" w:type="dxa"/>
          </w:tcPr>
          <w:p w:rsidR="00D835B7" w:rsidRPr="00D835B7" w:rsidRDefault="00D835B7" w:rsidP="00D835B7">
            <w:pPr>
              <w:tabs>
                <w:tab w:val="left" w:pos="6521"/>
              </w:tabs>
              <w:jc w:val="both"/>
              <w:rPr>
                <w:noProof/>
              </w:rPr>
            </w:pPr>
          </w:p>
        </w:tc>
      </w:tr>
      <w:tr w:rsidR="00D835B7" w:rsidRPr="00D835B7" w:rsidTr="00920C52">
        <w:trPr>
          <w:cantSplit/>
        </w:trPr>
        <w:tc>
          <w:tcPr>
            <w:tcW w:w="9108" w:type="dxa"/>
          </w:tcPr>
          <w:p w:rsidR="00D835B7" w:rsidRPr="00D835B7" w:rsidRDefault="00D835B7" w:rsidP="00D835B7">
            <w:pPr>
              <w:tabs>
                <w:tab w:val="left" w:pos="6521"/>
              </w:tabs>
              <w:jc w:val="both"/>
              <w:rPr>
                <w:noProof/>
              </w:rPr>
            </w:pPr>
          </w:p>
        </w:tc>
      </w:tr>
      <w:tr w:rsidR="00D835B7" w:rsidRPr="00D835B7" w:rsidTr="00920C52">
        <w:trPr>
          <w:cantSplit/>
        </w:trPr>
        <w:tc>
          <w:tcPr>
            <w:tcW w:w="9108" w:type="dxa"/>
          </w:tcPr>
          <w:p w:rsidR="00D835B7" w:rsidRPr="00D835B7" w:rsidRDefault="00D835B7" w:rsidP="00D835B7">
            <w:pPr>
              <w:tabs>
                <w:tab w:val="left" w:pos="6521"/>
              </w:tabs>
              <w:rPr>
                <w:noProof/>
              </w:rPr>
            </w:pPr>
          </w:p>
        </w:tc>
      </w:tr>
      <w:tr w:rsidR="00D835B7" w:rsidRPr="00D835B7" w:rsidTr="00920C52">
        <w:trPr>
          <w:cantSplit/>
        </w:trPr>
        <w:tc>
          <w:tcPr>
            <w:tcW w:w="9108" w:type="dxa"/>
          </w:tcPr>
          <w:p w:rsidR="00D835B7" w:rsidRPr="00D835B7" w:rsidRDefault="00D835B7" w:rsidP="00D835B7">
            <w:pPr>
              <w:tabs>
                <w:tab w:val="left" w:pos="6521"/>
              </w:tabs>
              <w:rPr>
                <w:noProof/>
              </w:rPr>
            </w:pPr>
          </w:p>
        </w:tc>
      </w:tr>
      <w:tr w:rsidR="00D835B7" w:rsidRPr="00D835B7" w:rsidTr="00920C52">
        <w:trPr>
          <w:cantSplit/>
        </w:trPr>
        <w:tc>
          <w:tcPr>
            <w:tcW w:w="9108" w:type="dxa"/>
          </w:tcPr>
          <w:p w:rsidR="00D835B7" w:rsidRPr="00D835B7" w:rsidRDefault="00D835B7" w:rsidP="00D835B7">
            <w:pPr>
              <w:tabs>
                <w:tab w:val="left" w:pos="6521"/>
              </w:tabs>
              <w:rPr>
                <w:noProof/>
              </w:rPr>
            </w:pPr>
          </w:p>
        </w:tc>
      </w:tr>
      <w:tr w:rsidR="00D835B7" w:rsidRPr="00D835B7" w:rsidTr="00920C52">
        <w:trPr>
          <w:cantSplit/>
        </w:trPr>
        <w:tc>
          <w:tcPr>
            <w:tcW w:w="9108" w:type="dxa"/>
          </w:tcPr>
          <w:p w:rsidR="00D835B7" w:rsidRPr="00D835B7" w:rsidRDefault="00D835B7" w:rsidP="00D835B7">
            <w:pPr>
              <w:tabs>
                <w:tab w:val="left" w:pos="6521"/>
              </w:tabs>
              <w:rPr>
                <w:i/>
                <w:noProof/>
              </w:rPr>
            </w:pPr>
            <w:r w:rsidRPr="00D835B7">
              <w:rPr>
                <w:i/>
                <w:noProof/>
              </w:rPr>
              <w:t>NIMI</w:t>
            </w:r>
            <w:r w:rsidR="00F8241C">
              <w:rPr>
                <w:i/>
                <w:noProof/>
              </w:rPr>
              <w:t xml:space="preserve">                               Kadi Bruus</w:t>
            </w:r>
          </w:p>
        </w:tc>
      </w:tr>
      <w:tr w:rsidR="00D835B7" w:rsidRPr="00D835B7" w:rsidTr="00920C52">
        <w:trPr>
          <w:cantSplit/>
        </w:trPr>
        <w:tc>
          <w:tcPr>
            <w:tcW w:w="9108" w:type="dxa"/>
          </w:tcPr>
          <w:p w:rsidR="00D835B7" w:rsidRPr="00D835B7" w:rsidRDefault="00D835B7" w:rsidP="00D835B7">
            <w:pPr>
              <w:tabs>
                <w:tab w:val="left" w:pos="6521"/>
              </w:tabs>
              <w:rPr>
                <w:i/>
                <w:noProof/>
              </w:rPr>
            </w:pPr>
            <w:r w:rsidRPr="00D835B7">
              <w:rPr>
                <w:i/>
                <w:noProof/>
              </w:rPr>
              <w:t>AMETIKOHT</w:t>
            </w:r>
            <w:r w:rsidR="00F8241C">
              <w:rPr>
                <w:i/>
                <w:noProof/>
              </w:rPr>
              <w:t xml:space="preserve">                 haridus- ja noorsootöö peaspetsialist</w:t>
            </w:r>
          </w:p>
        </w:tc>
      </w:tr>
    </w:tbl>
    <w:p w:rsidR="00D835B7" w:rsidRPr="00D835B7" w:rsidRDefault="00D835B7" w:rsidP="00D835B7"/>
    <w:p w:rsidR="00D835B7" w:rsidRPr="00D835B7" w:rsidRDefault="00D835B7" w:rsidP="00D835B7">
      <w:pPr>
        <w:autoSpaceDE w:val="0"/>
        <w:autoSpaceDN w:val="0"/>
        <w:adjustRightInd w:val="0"/>
        <w:rPr>
          <w:color w:val="000000"/>
          <w:lang w:eastAsia="et-EE"/>
        </w:rPr>
      </w:pPr>
    </w:p>
    <w:p w:rsidR="00D835B7" w:rsidRPr="00D835B7" w:rsidRDefault="00D835B7" w:rsidP="00D835B7">
      <w:pPr>
        <w:autoSpaceDE w:val="0"/>
        <w:autoSpaceDN w:val="0"/>
        <w:adjustRightInd w:val="0"/>
        <w:spacing w:after="30"/>
        <w:rPr>
          <w:color w:val="000000"/>
          <w:lang w:eastAsia="et-EE"/>
        </w:rPr>
      </w:pPr>
      <w:r w:rsidRPr="00D835B7">
        <w:rPr>
          <w:color w:val="000000"/>
          <w:lang w:eastAsia="et-EE"/>
        </w:rPr>
        <w:t xml:space="preserve">  </w:t>
      </w:r>
    </w:p>
    <w:p w:rsidR="00D835B7" w:rsidRPr="00D835B7" w:rsidRDefault="00D835B7" w:rsidP="00D835B7">
      <w:pPr>
        <w:autoSpaceDE w:val="0"/>
        <w:autoSpaceDN w:val="0"/>
        <w:adjustRightInd w:val="0"/>
        <w:rPr>
          <w:rFonts w:ascii="Calibri" w:hAnsi="Calibri" w:cs="Calibri"/>
          <w:color w:val="000000"/>
          <w:sz w:val="22"/>
          <w:szCs w:val="22"/>
          <w:lang w:eastAsia="et-EE"/>
        </w:rPr>
      </w:pPr>
    </w:p>
    <w:p w:rsidR="00D835B7" w:rsidRPr="00D835B7" w:rsidRDefault="00D835B7" w:rsidP="00D835B7">
      <w:pPr>
        <w:autoSpaceDE w:val="0"/>
        <w:autoSpaceDN w:val="0"/>
        <w:adjustRightInd w:val="0"/>
        <w:rPr>
          <w:rFonts w:ascii="Calibri" w:hAnsi="Calibri" w:cs="Calibri"/>
          <w:color w:val="000000"/>
          <w:sz w:val="22"/>
          <w:szCs w:val="22"/>
          <w:lang w:eastAsia="et-EE"/>
        </w:rPr>
      </w:pPr>
      <w:r w:rsidRPr="00D835B7">
        <w:rPr>
          <w:rFonts w:ascii="Calibri" w:hAnsi="Calibri" w:cs="Calibri"/>
          <w:color w:val="000000"/>
          <w:sz w:val="22"/>
          <w:szCs w:val="22"/>
          <w:lang w:eastAsia="et-EE"/>
        </w:rPr>
        <w:t xml:space="preserve"> </w:t>
      </w:r>
    </w:p>
    <w:p w:rsidR="00D835B7" w:rsidRPr="00D835B7" w:rsidRDefault="00D835B7" w:rsidP="00D835B7">
      <w:pPr>
        <w:rPr>
          <w:i/>
        </w:rPr>
      </w:pPr>
    </w:p>
    <w:p w:rsidR="00D835B7" w:rsidRDefault="00D835B7" w:rsidP="00962C8F">
      <w:pPr>
        <w:pStyle w:val="Normaallaadveeb"/>
        <w:spacing w:before="0" w:after="0"/>
        <w:rPr>
          <w:rFonts w:ascii="Times New Roman" w:hAnsi="Times New Roman" w:cs="Times New Roman"/>
        </w:rPr>
      </w:pPr>
    </w:p>
    <w:p w:rsidR="00D835B7" w:rsidRDefault="00D835B7" w:rsidP="00962C8F">
      <w:pPr>
        <w:pStyle w:val="Normaallaadveeb"/>
        <w:spacing w:before="0" w:after="0"/>
        <w:rPr>
          <w:rFonts w:ascii="Times New Roman" w:hAnsi="Times New Roman" w:cs="Times New Roman"/>
        </w:rPr>
      </w:pPr>
    </w:p>
    <w:p w:rsidR="00D835B7" w:rsidRDefault="00D835B7" w:rsidP="00962C8F">
      <w:pPr>
        <w:pStyle w:val="Normaallaadveeb"/>
        <w:spacing w:before="0" w:after="0"/>
        <w:rPr>
          <w:rFonts w:ascii="Times New Roman" w:hAnsi="Times New Roman" w:cs="Times New Roman"/>
        </w:rPr>
      </w:pPr>
    </w:p>
    <w:p w:rsidR="00D835B7" w:rsidRDefault="00D835B7" w:rsidP="00962C8F">
      <w:pPr>
        <w:pStyle w:val="Normaallaadveeb"/>
        <w:spacing w:before="0" w:after="0"/>
        <w:rPr>
          <w:rFonts w:ascii="Times New Roman" w:hAnsi="Times New Roman" w:cs="Times New Roman"/>
        </w:rPr>
      </w:pPr>
    </w:p>
    <w:p w:rsidR="00D835B7" w:rsidRDefault="00D835B7" w:rsidP="00962C8F">
      <w:pPr>
        <w:pStyle w:val="Normaallaadveeb"/>
        <w:spacing w:before="0" w:after="0"/>
        <w:rPr>
          <w:rFonts w:ascii="Times New Roman" w:hAnsi="Times New Roman" w:cs="Times New Roman"/>
        </w:rPr>
      </w:pPr>
    </w:p>
    <w:p w:rsidR="00D835B7" w:rsidRDefault="00D835B7" w:rsidP="00962C8F">
      <w:pPr>
        <w:pStyle w:val="Normaallaadveeb"/>
        <w:spacing w:before="0" w:after="0"/>
        <w:rPr>
          <w:rFonts w:ascii="Times New Roman" w:hAnsi="Times New Roman" w:cs="Times New Roman"/>
        </w:rPr>
      </w:pPr>
    </w:p>
    <w:p w:rsidR="00D835B7" w:rsidRDefault="00D835B7" w:rsidP="00962C8F">
      <w:pPr>
        <w:pStyle w:val="Normaallaadveeb"/>
        <w:spacing w:before="0" w:after="0"/>
        <w:rPr>
          <w:rFonts w:ascii="Times New Roman" w:hAnsi="Times New Roman" w:cs="Times New Roman"/>
        </w:rPr>
      </w:pPr>
    </w:p>
    <w:p w:rsidR="00962C8F" w:rsidRDefault="00962C8F" w:rsidP="00962C8F"/>
    <w:p w:rsidR="00962C8F" w:rsidRDefault="00962C8F" w:rsidP="00A61D84"/>
    <w:sectPr w:rsidR="00962C8F">
      <w:pgSz w:w="11906" w:h="16838"/>
      <w:pgMar w:top="1440" w:right="926"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E6085D"/>
    <w:multiLevelType w:val="multilevel"/>
    <w:tmpl w:val="EC20445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E040D31"/>
    <w:multiLevelType w:val="multilevel"/>
    <w:tmpl w:val="72BC32D4"/>
    <w:lvl w:ilvl="0">
      <w:start w:val="1"/>
      <w:numFmt w:val="decimal"/>
      <w:pStyle w:val="Loetelu"/>
      <w:suff w:val="space"/>
      <w:lvlText w:val="%1."/>
      <w:lvlJc w:val="left"/>
      <w:pPr>
        <w:ind w:left="0" w:firstLine="0"/>
      </w:pPr>
      <w:rPr>
        <w:rFonts w:hint="default"/>
      </w:rPr>
    </w:lvl>
    <w:lvl w:ilvl="1">
      <w:start w:val="1"/>
      <w:numFmt w:val="decimal"/>
      <w:pStyle w:val="Bodyt"/>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38FD0EB2"/>
    <w:multiLevelType w:val="multilevel"/>
    <w:tmpl w:val="30D6C950"/>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3E5040A3"/>
    <w:multiLevelType w:val="hybridMultilevel"/>
    <w:tmpl w:val="9DFA15E6"/>
    <w:lvl w:ilvl="0" w:tplc="04250001">
      <w:numFmt w:val="bullet"/>
      <w:lvlText w:val=""/>
      <w:lvlJc w:val="left"/>
      <w:pPr>
        <w:ind w:left="720" w:hanging="360"/>
      </w:pPr>
      <w:rPr>
        <w:rFonts w:ascii="Symbol" w:eastAsia="Times New Roman" w:hAnsi="Symbol"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15:restartNumberingAfterBreak="0">
    <w:nsid w:val="3F5B3787"/>
    <w:multiLevelType w:val="hybridMultilevel"/>
    <w:tmpl w:val="FBD0EBBC"/>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43AC5CEA"/>
    <w:multiLevelType w:val="hybridMultilevel"/>
    <w:tmpl w:val="276009EE"/>
    <w:lvl w:ilvl="0" w:tplc="75104F92">
      <w:numFmt w:val="bullet"/>
      <w:lvlText w:val=""/>
      <w:lvlJc w:val="left"/>
      <w:pPr>
        <w:ind w:left="720" w:hanging="360"/>
      </w:pPr>
      <w:rPr>
        <w:rFonts w:ascii="Symbol" w:eastAsia="Times New Roman" w:hAnsi="Symbol" w:cs="Calibr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 w15:restartNumberingAfterBreak="0">
    <w:nsid w:val="4B4F5CB9"/>
    <w:multiLevelType w:val="hybridMultilevel"/>
    <w:tmpl w:val="B5F28ACC"/>
    <w:lvl w:ilvl="0" w:tplc="0425000F">
      <w:start w:val="1"/>
      <w:numFmt w:val="decimal"/>
      <w:lvlText w:val="%1."/>
      <w:lvlJc w:val="left"/>
      <w:pPr>
        <w:tabs>
          <w:tab w:val="num" w:pos="720"/>
        </w:tabs>
        <w:ind w:left="720" w:hanging="360"/>
      </w:pPr>
      <w:rPr>
        <w:rFonts w:hint="default"/>
      </w:rPr>
    </w:lvl>
    <w:lvl w:ilvl="1" w:tplc="04250019" w:tentative="1">
      <w:start w:val="1"/>
      <w:numFmt w:val="lowerLetter"/>
      <w:lvlText w:val="%2."/>
      <w:lvlJc w:val="left"/>
      <w:pPr>
        <w:tabs>
          <w:tab w:val="num" w:pos="1440"/>
        </w:tabs>
        <w:ind w:left="1440" w:hanging="360"/>
      </w:pPr>
    </w:lvl>
    <w:lvl w:ilvl="2" w:tplc="0425001B" w:tentative="1">
      <w:start w:val="1"/>
      <w:numFmt w:val="lowerRoman"/>
      <w:lvlText w:val="%3."/>
      <w:lvlJc w:val="right"/>
      <w:pPr>
        <w:tabs>
          <w:tab w:val="num" w:pos="2160"/>
        </w:tabs>
        <w:ind w:left="2160" w:hanging="180"/>
      </w:pPr>
    </w:lvl>
    <w:lvl w:ilvl="3" w:tplc="0425000F" w:tentative="1">
      <w:start w:val="1"/>
      <w:numFmt w:val="decimal"/>
      <w:lvlText w:val="%4."/>
      <w:lvlJc w:val="left"/>
      <w:pPr>
        <w:tabs>
          <w:tab w:val="num" w:pos="2880"/>
        </w:tabs>
        <w:ind w:left="2880" w:hanging="360"/>
      </w:pPr>
    </w:lvl>
    <w:lvl w:ilvl="4" w:tplc="04250019" w:tentative="1">
      <w:start w:val="1"/>
      <w:numFmt w:val="lowerLetter"/>
      <w:lvlText w:val="%5."/>
      <w:lvlJc w:val="left"/>
      <w:pPr>
        <w:tabs>
          <w:tab w:val="num" w:pos="3600"/>
        </w:tabs>
        <w:ind w:left="3600" w:hanging="360"/>
      </w:pPr>
    </w:lvl>
    <w:lvl w:ilvl="5" w:tplc="0425001B" w:tentative="1">
      <w:start w:val="1"/>
      <w:numFmt w:val="lowerRoman"/>
      <w:lvlText w:val="%6."/>
      <w:lvlJc w:val="right"/>
      <w:pPr>
        <w:tabs>
          <w:tab w:val="num" w:pos="4320"/>
        </w:tabs>
        <w:ind w:left="4320" w:hanging="180"/>
      </w:pPr>
    </w:lvl>
    <w:lvl w:ilvl="6" w:tplc="0425000F" w:tentative="1">
      <w:start w:val="1"/>
      <w:numFmt w:val="decimal"/>
      <w:lvlText w:val="%7."/>
      <w:lvlJc w:val="left"/>
      <w:pPr>
        <w:tabs>
          <w:tab w:val="num" w:pos="5040"/>
        </w:tabs>
        <w:ind w:left="5040" w:hanging="360"/>
      </w:pPr>
    </w:lvl>
    <w:lvl w:ilvl="7" w:tplc="04250019" w:tentative="1">
      <w:start w:val="1"/>
      <w:numFmt w:val="lowerLetter"/>
      <w:lvlText w:val="%8."/>
      <w:lvlJc w:val="left"/>
      <w:pPr>
        <w:tabs>
          <w:tab w:val="num" w:pos="5760"/>
        </w:tabs>
        <w:ind w:left="5760" w:hanging="360"/>
      </w:pPr>
    </w:lvl>
    <w:lvl w:ilvl="8" w:tplc="0425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6"/>
  </w:num>
  <w:num w:numId="4">
    <w:abstractNumId w:val="0"/>
  </w:num>
  <w:num w:numId="5">
    <w:abstractNumId w:val="4"/>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A69"/>
    <w:rsid w:val="000119E3"/>
    <w:rsid w:val="00011FEE"/>
    <w:rsid w:val="000274F2"/>
    <w:rsid w:val="000321D2"/>
    <w:rsid w:val="00036500"/>
    <w:rsid w:val="0005455E"/>
    <w:rsid w:val="00060FE4"/>
    <w:rsid w:val="000617B6"/>
    <w:rsid w:val="000620FA"/>
    <w:rsid w:val="00095D3F"/>
    <w:rsid w:val="000A4523"/>
    <w:rsid w:val="000B57BA"/>
    <w:rsid w:val="000B7C53"/>
    <w:rsid w:val="000C1D7B"/>
    <w:rsid w:val="000C3498"/>
    <w:rsid w:val="000C79ED"/>
    <w:rsid w:val="000E05D1"/>
    <w:rsid w:val="000E73B5"/>
    <w:rsid w:val="00110945"/>
    <w:rsid w:val="0012496A"/>
    <w:rsid w:val="00161A69"/>
    <w:rsid w:val="001627BB"/>
    <w:rsid w:val="00163177"/>
    <w:rsid w:val="001A1129"/>
    <w:rsid w:val="001A2178"/>
    <w:rsid w:val="001A51D6"/>
    <w:rsid w:val="001B2C9F"/>
    <w:rsid w:val="001E3889"/>
    <w:rsid w:val="001E4A4F"/>
    <w:rsid w:val="001F6002"/>
    <w:rsid w:val="001F7D81"/>
    <w:rsid w:val="00207834"/>
    <w:rsid w:val="00213901"/>
    <w:rsid w:val="00215104"/>
    <w:rsid w:val="00255C21"/>
    <w:rsid w:val="002620E7"/>
    <w:rsid w:val="00262FFB"/>
    <w:rsid w:val="00276877"/>
    <w:rsid w:val="00293B50"/>
    <w:rsid w:val="00296CC9"/>
    <w:rsid w:val="002A0646"/>
    <w:rsid w:val="002A3B31"/>
    <w:rsid w:val="002C6BD4"/>
    <w:rsid w:val="002E5BB3"/>
    <w:rsid w:val="002E7E60"/>
    <w:rsid w:val="00303AF4"/>
    <w:rsid w:val="00314C0B"/>
    <w:rsid w:val="00323397"/>
    <w:rsid w:val="00324289"/>
    <w:rsid w:val="00341DCA"/>
    <w:rsid w:val="00380D1C"/>
    <w:rsid w:val="00382106"/>
    <w:rsid w:val="003B0762"/>
    <w:rsid w:val="003D3128"/>
    <w:rsid w:val="003E7219"/>
    <w:rsid w:val="003F0B32"/>
    <w:rsid w:val="003F49F2"/>
    <w:rsid w:val="00412ADE"/>
    <w:rsid w:val="00420748"/>
    <w:rsid w:val="0044798A"/>
    <w:rsid w:val="0046209D"/>
    <w:rsid w:val="0046257B"/>
    <w:rsid w:val="00467E49"/>
    <w:rsid w:val="00471DAA"/>
    <w:rsid w:val="004A0711"/>
    <w:rsid w:val="004B6FB1"/>
    <w:rsid w:val="004C1CEF"/>
    <w:rsid w:val="004C57A7"/>
    <w:rsid w:val="004D10B8"/>
    <w:rsid w:val="004F0774"/>
    <w:rsid w:val="004F1FDE"/>
    <w:rsid w:val="004F37F2"/>
    <w:rsid w:val="00504A87"/>
    <w:rsid w:val="00507D6E"/>
    <w:rsid w:val="005330E6"/>
    <w:rsid w:val="005404C7"/>
    <w:rsid w:val="00541140"/>
    <w:rsid w:val="00543DF9"/>
    <w:rsid w:val="005573F6"/>
    <w:rsid w:val="005C28DC"/>
    <w:rsid w:val="005D6626"/>
    <w:rsid w:val="005E2100"/>
    <w:rsid w:val="005F1689"/>
    <w:rsid w:val="00604F19"/>
    <w:rsid w:val="006052EA"/>
    <w:rsid w:val="00627FFC"/>
    <w:rsid w:val="006300C3"/>
    <w:rsid w:val="00630CB6"/>
    <w:rsid w:val="006633BD"/>
    <w:rsid w:val="006C7E83"/>
    <w:rsid w:val="006E5091"/>
    <w:rsid w:val="006F104A"/>
    <w:rsid w:val="0070364A"/>
    <w:rsid w:val="007129A2"/>
    <w:rsid w:val="007246F6"/>
    <w:rsid w:val="007312E9"/>
    <w:rsid w:val="00734502"/>
    <w:rsid w:val="0073737D"/>
    <w:rsid w:val="00741059"/>
    <w:rsid w:val="00752199"/>
    <w:rsid w:val="00752F71"/>
    <w:rsid w:val="00764A5C"/>
    <w:rsid w:val="00776F1D"/>
    <w:rsid w:val="00784D38"/>
    <w:rsid w:val="00785DF0"/>
    <w:rsid w:val="007B396E"/>
    <w:rsid w:val="007C2B50"/>
    <w:rsid w:val="007D4B50"/>
    <w:rsid w:val="00804274"/>
    <w:rsid w:val="00824826"/>
    <w:rsid w:val="00840A0B"/>
    <w:rsid w:val="00841EE8"/>
    <w:rsid w:val="008448F7"/>
    <w:rsid w:val="00844944"/>
    <w:rsid w:val="00884D24"/>
    <w:rsid w:val="00896C31"/>
    <w:rsid w:val="008A0B8E"/>
    <w:rsid w:val="008A650E"/>
    <w:rsid w:val="008C7196"/>
    <w:rsid w:val="008D7CA8"/>
    <w:rsid w:val="008F6385"/>
    <w:rsid w:val="00905C09"/>
    <w:rsid w:val="009170C3"/>
    <w:rsid w:val="00922890"/>
    <w:rsid w:val="009301D5"/>
    <w:rsid w:val="0093570E"/>
    <w:rsid w:val="009406B8"/>
    <w:rsid w:val="00942FD7"/>
    <w:rsid w:val="00946A0B"/>
    <w:rsid w:val="00962C8F"/>
    <w:rsid w:val="00964876"/>
    <w:rsid w:val="0099786E"/>
    <w:rsid w:val="009B4CC7"/>
    <w:rsid w:val="009C1907"/>
    <w:rsid w:val="009D6A41"/>
    <w:rsid w:val="009E4D45"/>
    <w:rsid w:val="00A10E24"/>
    <w:rsid w:val="00A16F9D"/>
    <w:rsid w:val="00A3593E"/>
    <w:rsid w:val="00A61D84"/>
    <w:rsid w:val="00A73164"/>
    <w:rsid w:val="00A75868"/>
    <w:rsid w:val="00AA4F9D"/>
    <w:rsid w:val="00AA6ECB"/>
    <w:rsid w:val="00AB6EC4"/>
    <w:rsid w:val="00AE091F"/>
    <w:rsid w:val="00AF371E"/>
    <w:rsid w:val="00B13FBE"/>
    <w:rsid w:val="00B26F9D"/>
    <w:rsid w:val="00B46A5D"/>
    <w:rsid w:val="00B6055F"/>
    <w:rsid w:val="00B77561"/>
    <w:rsid w:val="00B81251"/>
    <w:rsid w:val="00B92DDF"/>
    <w:rsid w:val="00B96601"/>
    <w:rsid w:val="00BB00D9"/>
    <w:rsid w:val="00BB24FD"/>
    <w:rsid w:val="00BB6DB9"/>
    <w:rsid w:val="00BD160F"/>
    <w:rsid w:val="00BD5D0A"/>
    <w:rsid w:val="00BD7911"/>
    <w:rsid w:val="00BF2EB4"/>
    <w:rsid w:val="00C0299A"/>
    <w:rsid w:val="00C052F7"/>
    <w:rsid w:val="00C05E55"/>
    <w:rsid w:val="00C367ED"/>
    <w:rsid w:val="00C45E89"/>
    <w:rsid w:val="00C52FB3"/>
    <w:rsid w:val="00C54AD7"/>
    <w:rsid w:val="00C5562E"/>
    <w:rsid w:val="00C57E9E"/>
    <w:rsid w:val="00C757CA"/>
    <w:rsid w:val="00C767B2"/>
    <w:rsid w:val="00C80BAD"/>
    <w:rsid w:val="00C82B36"/>
    <w:rsid w:val="00C903C9"/>
    <w:rsid w:val="00CB0232"/>
    <w:rsid w:val="00CB3D3E"/>
    <w:rsid w:val="00CE5DDE"/>
    <w:rsid w:val="00CE6780"/>
    <w:rsid w:val="00CE7899"/>
    <w:rsid w:val="00D240A5"/>
    <w:rsid w:val="00D638F9"/>
    <w:rsid w:val="00D67BDB"/>
    <w:rsid w:val="00D74D9B"/>
    <w:rsid w:val="00D835B7"/>
    <w:rsid w:val="00D90E45"/>
    <w:rsid w:val="00D926DB"/>
    <w:rsid w:val="00D9311E"/>
    <w:rsid w:val="00D97D29"/>
    <w:rsid w:val="00DB0652"/>
    <w:rsid w:val="00DC5AEC"/>
    <w:rsid w:val="00DD7FB7"/>
    <w:rsid w:val="00DE4E4D"/>
    <w:rsid w:val="00DF0789"/>
    <w:rsid w:val="00E20ABD"/>
    <w:rsid w:val="00E50AAF"/>
    <w:rsid w:val="00E6013E"/>
    <w:rsid w:val="00E6165D"/>
    <w:rsid w:val="00E660DB"/>
    <w:rsid w:val="00E7337F"/>
    <w:rsid w:val="00E84BD3"/>
    <w:rsid w:val="00E9765B"/>
    <w:rsid w:val="00EA1D81"/>
    <w:rsid w:val="00EC5E8D"/>
    <w:rsid w:val="00EF438A"/>
    <w:rsid w:val="00F2134F"/>
    <w:rsid w:val="00F27606"/>
    <w:rsid w:val="00F355FB"/>
    <w:rsid w:val="00F369F7"/>
    <w:rsid w:val="00F47A82"/>
    <w:rsid w:val="00F47F91"/>
    <w:rsid w:val="00F559FB"/>
    <w:rsid w:val="00F61C42"/>
    <w:rsid w:val="00F661F7"/>
    <w:rsid w:val="00F7253B"/>
    <w:rsid w:val="00F80250"/>
    <w:rsid w:val="00F8241C"/>
    <w:rsid w:val="00FA2A5E"/>
    <w:rsid w:val="00FB1C8A"/>
    <w:rsid w:val="00FB515D"/>
    <w:rsid w:val="00FC48A7"/>
    <w:rsid w:val="00FD3074"/>
    <w:rsid w:val="00FD3E89"/>
    <w:rsid w:val="00FE2ECB"/>
    <w:rsid w:val="00FE3BB1"/>
    <w:rsid w:val="00FE4D0C"/>
    <w:rsid w:val="00FF5580"/>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BE2AEA4-EFC7-4CD3-B587-A49A549EA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t-EE" w:eastAsia="et-E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Pr>
      <w:sz w:val="24"/>
      <w:szCs w:val="24"/>
      <w:lang w:eastAsia="en-US"/>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Kehatekst">
    <w:name w:val="Body Text"/>
    <w:basedOn w:val="Normaallaad"/>
    <w:link w:val="KehatekstMrk"/>
    <w:semiHidden/>
    <w:pPr>
      <w:jc w:val="both"/>
    </w:pPr>
    <w:rPr>
      <w:szCs w:val="20"/>
    </w:rPr>
  </w:style>
  <w:style w:type="paragraph" w:customStyle="1" w:styleId="Pea">
    <w:name w:val="Pea"/>
    <w:basedOn w:val="Kehatekst"/>
    <w:pPr>
      <w:ind w:left="-1134"/>
      <w:jc w:val="center"/>
    </w:pPr>
    <w:rPr>
      <w:sz w:val="28"/>
    </w:rPr>
  </w:style>
  <w:style w:type="paragraph" w:customStyle="1" w:styleId="Loetelu">
    <w:name w:val="Loetelu"/>
    <w:basedOn w:val="Kehatekst"/>
    <w:pPr>
      <w:numPr>
        <w:numId w:val="1"/>
      </w:numPr>
      <w:spacing w:before="120"/>
    </w:pPr>
  </w:style>
  <w:style w:type="paragraph" w:customStyle="1" w:styleId="Bodyt">
    <w:name w:val="Bodyt"/>
    <w:basedOn w:val="Normaallaad"/>
    <w:pPr>
      <w:numPr>
        <w:ilvl w:val="1"/>
        <w:numId w:val="1"/>
      </w:numPr>
      <w:jc w:val="both"/>
    </w:pPr>
    <w:rPr>
      <w:szCs w:val="20"/>
    </w:rPr>
  </w:style>
  <w:style w:type="paragraph" w:styleId="Jutumullitekst">
    <w:name w:val="Balloon Text"/>
    <w:basedOn w:val="Normaallaad"/>
    <w:link w:val="JutumullitekstMrk"/>
    <w:uiPriority w:val="99"/>
    <w:semiHidden/>
    <w:unhideWhenUsed/>
    <w:rsid w:val="00FA2A5E"/>
    <w:rPr>
      <w:rFonts w:ascii="Tahoma" w:hAnsi="Tahoma" w:cs="Tahoma"/>
      <w:sz w:val="16"/>
      <w:szCs w:val="16"/>
    </w:rPr>
  </w:style>
  <w:style w:type="character" w:customStyle="1" w:styleId="JutumullitekstMrk">
    <w:name w:val="Jutumullitekst Märk"/>
    <w:link w:val="Jutumullitekst"/>
    <w:uiPriority w:val="99"/>
    <w:semiHidden/>
    <w:rsid w:val="00FA2A5E"/>
    <w:rPr>
      <w:rFonts w:ascii="Tahoma" w:hAnsi="Tahoma" w:cs="Tahoma"/>
      <w:sz w:val="16"/>
      <w:szCs w:val="16"/>
      <w:lang w:eastAsia="en-US"/>
    </w:rPr>
  </w:style>
  <w:style w:type="character" w:customStyle="1" w:styleId="KehatekstMrk">
    <w:name w:val="Kehatekst Märk"/>
    <w:link w:val="Kehatekst"/>
    <w:semiHidden/>
    <w:rsid w:val="000E73B5"/>
    <w:rPr>
      <w:sz w:val="24"/>
      <w:lang w:eastAsia="en-US"/>
    </w:rPr>
  </w:style>
  <w:style w:type="paragraph" w:styleId="Normaallaadveeb">
    <w:name w:val="Normal (Web)"/>
    <w:basedOn w:val="Normaallaad"/>
    <w:uiPriority w:val="99"/>
    <w:rsid w:val="00962C8F"/>
    <w:pPr>
      <w:suppressAutoHyphens/>
      <w:spacing w:before="100" w:after="100" w:line="100" w:lineRule="atLeast"/>
    </w:pPr>
    <w:rPr>
      <w:rFonts w:ascii="Tahoma" w:eastAsia="Arial Unicode MS" w:hAnsi="Tahoma" w:cs="Tahoma"/>
      <w:color w:val="00000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tag.ee/teadus-ja-tehnoloogiapaktiga-kaasatakse-valdkonna-arendamisse-erinevad-osapooled/" TargetMode="External"/><Relationship Id="rId3" Type="http://schemas.openxmlformats.org/officeDocument/2006/relationships/settings" Target="settings.xml"/><Relationship Id="rId7" Type="http://schemas.openxmlformats.org/officeDocument/2006/relationships/hyperlink" Target="http://www.youtube.com/watch?v=xaJKSf_ZeZw"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m.ee/sites/default/files/teadmiskeskus_collegium_eruditionis.pdf" TargetMode="External"/><Relationship Id="rId11" Type="http://schemas.openxmlformats.org/officeDocument/2006/relationships/fontTable" Target="fontTable.xml"/><Relationship Id="rId5" Type="http://schemas.openxmlformats.org/officeDocument/2006/relationships/hyperlink" Target="http://euroopa.noored.ee/telepurk/1393527360/Aasta-tegu-III-laureaat-Collegium-Eruditionis.-2013" TargetMode="External"/><Relationship Id="rId10" Type="http://schemas.openxmlformats.org/officeDocument/2006/relationships/hyperlink" Target="http://www.teadushuvi.ee/" TargetMode="External"/><Relationship Id="rId4" Type="http://schemas.openxmlformats.org/officeDocument/2006/relationships/webSettings" Target="webSettings.xml"/><Relationship Id="rId9" Type="http://schemas.openxmlformats.org/officeDocument/2006/relationships/hyperlink" Target="http://www.eesti2.ee/" TargetMode="Externa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1772</Words>
  <Characters>10282</Characters>
  <Application>Microsoft Office Word</Application>
  <DocSecurity>0</DocSecurity>
  <Lines>85</Lines>
  <Paragraphs>24</Paragraphs>
  <ScaleCrop>false</ScaleCrop>
  <HeadingPairs>
    <vt:vector size="6" baseType="variant">
      <vt:variant>
        <vt:lpstr>Pealkiri</vt:lpstr>
      </vt:variant>
      <vt:variant>
        <vt:i4>1</vt:i4>
      </vt:variant>
      <vt:variant>
        <vt:lpstr>Title</vt:lpstr>
      </vt:variant>
      <vt:variant>
        <vt:i4>1</vt:i4>
      </vt:variant>
      <vt:variant>
        <vt:lpstr>Tiitel</vt:lpstr>
      </vt:variant>
      <vt:variant>
        <vt:i4>1</vt:i4>
      </vt:variant>
    </vt:vector>
  </HeadingPairs>
  <TitlesOfParts>
    <vt:vector size="3" baseType="lpstr">
      <vt:lpstr>VIIMSI VALLAVALITSUS</vt:lpstr>
      <vt:lpstr>VIIMSI VALLAVALITSUS</vt:lpstr>
      <vt:lpstr>VIIMSI VALLAVALITSUS</vt:lpstr>
    </vt:vector>
  </TitlesOfParts>
  <Company>VVV</Company>
  <LinksUpToDate>false</LinksUpToDate>
  <CharactersWithSpaces>12030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VIIMSI VALLAVALITSUS</dc:title>
  <dc:subject/>
  <dc:creator>kristo</dc:creator>
  <cp:keywords/>
  <cp:lastModifiedBy>Birgit Mägi</cp:lastModifiedBy>
  <cp:revision>7</cp:revision>
  <cp:lastPrinted>2016-05-23T06:19:00Z</cp:lastPrinted>
  <dcterms:created xsi:type="dcterms:W3CDTF">2018-01-11T02:28:00Z</dcterms:created>
  <dcterms:modified xsi:type="dcterms:W3CDTF">2018-01-26T07:10:00Z</dcterms:modified>
</cp:coreProperties>
</file>