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FF" w:rsidRPr="00EA74FF" w:rsidRDefault="00EA74FF" w:rsidP="00EA74FF">
      <w:pPr>
        <w:jc w:val="right"/>
        <w:rPr>
          <w:b/>
        </w:rPr>
      </w:pPr>
      <w:r w:rsidRPr="00EA74FF">
        <w:rPr>
          <w:b/>
        </w:rPr>
        <w:t>Pkp.</w:t>
      </w:r>
      <w:r w:rsidR="009562A1">
        <w:rPr>
          <w:b/>
        </w:rPr>
        <w:t xml:space="preserve"> 7</w:t>
      </w:r>
    </w:p>
    <w:p w:rsidR="00EA74FF" w:rsidRPr="00EA74FF" w:rsidRDefault="00EA74FF" w:rsidP="00EA74FF">
      <w:pPr>
        <w:jc w:val="right"/>
        <w:rPr>
          <w:b/>
        </w:rPr>
      </w:pPr>
      <w:r w:rsidRPr="00EA74FF">
        <w:rPr>
          <w:b/>
        </w:rPr>
        <w:t>Eelnõu nr.</w:t>
      </w:r>
      <w:r w:rsidR="009562A1">
        <w:rPr>
          <w:b/>
        </w:rPr>
        <w:t xml:space="preserve"> 7</w:t>
      </w:r>
      <w:bookmarkStart w:id="0" w:name="_GoBack"/>
      <w:bookmarkEnd w:id="0"/>
    </w:p>
    <w:p w:rsidR="00EA74FF" w:rsidRPr="00EA74FF" w:rsidRDefault="00EA74FF" w:rsidP="00EA74FF">
      <w:pPr>
        <w:jc w:val="right"/>
        <w:rPr>
          <w:i/>
        </w:rPr>
      </w:pPr>
      <w:r w:rsidRPr="00EA74FF">
        <w:rPr>
          <w:i/>
        </w:rPr>
        <w:t>lihthäälteenamus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1331"/>
        <w:gridCol w:w="3368"/>
      </w:tblGrid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Pea"/>
              <w:ind w:left="0"/>
              <w:rPr>
                <w:noProof/>
              </w:rPr>
            </w:pPr>
            <w:r>
              <w:rPr>
                <w:noProof/>
              </w:rPr>
              <w:t>VIIMSI VALLAV</w:t>
            </w:r>
            <w:r w:rsidR="00F62A22">
              <w:rPr>
                <w:noProof/>
              </w:rPr>
              <w:t>OLIKOGU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center"/>
              <w:rPr>
                <w:b/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F62A22">
            <w:pPr>
              <w:pStyle w:val="Pea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OTSUS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5812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Viimsi</w:t>
            </w:r>
          </w:p>
        </w:tc>
        <w:tc>
          <w:tcPr>
            <w:tcW w:w="3368" w:type="dxa"/>
          </w:tcPr>
          <w:p w:rsidR="007E31D1" w:rsidRPr="0041196B" w:rsidRDefault="007E31D1" w:rsidP="00F663D4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A74FF">
              <w:rPr>
                <w:noProof/>
              </w:rPr>
              <w:t xml:space="preserve">                   </w:t>
            </w:r>
            <w:r w:rsidR="006E100F">
              <w:rPr>
                <w:noProof/>
              </w:rPr>
              <w:t>14</w:t>
            </w:r>
            <w:r w:rsidR="00DF5502" w:rsidRPr="0041196B">
              <w:t xml:space="preserve">. </w:t>
            </w:r>
            <w:r w:rsidR="006E100F">
              <w:t>märts</w:t>
            </w:r>
            <w:r w:rsidR="005B3AA5">
              <w:t xml:space="preserve"> </w:t>
            </w:r>
            <w:r w:rsidR="00DF5502" w:rsidRPr="0041196B">
              <w:t>20</w:t>
            </w:r>
            <w:r w:rsidR="0011097C" w:rsidRPr="0041196B">
              <w:t>1</w:t>
            </w:r>
            <w:r w:rsidR="006E100F">
              <w:t>7</w:t>
            </w:r>
            <w:r w:rsidR="00DF5502" w:rsidRPr="0041196B">
              <w:t xml:space="preserve"> nr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4481" w:type="dxa"/>
          </w:tcPr>
          <w:p w:rsidR="007E31D1" w:rsidRPr="00BE74B4" w:rsidRDefault="006E100F" w:rsidP="006E100F">
            <w:pPr>
              <w:pStyle w:val="Kehatekst"/>
              <w:tabs>
                <w:tab w:val="left" w:pos="6521"/>
              </w:tabs>
              <w:jc w:val="left"/>
            </w:pPr>
            <w:r>
              <w:t>Viimsi Vallavolikogu</w:t>
            </w:r>
            <w:r w:rsidR="00D36627">
              <w:t xml:space="preserve"> </w:t>
            </w:r>
            <w:r>
              <w:t>14.12.1999</w:t>
            </w:r>
            <w:r w:rsidR="00BE74B4">
              <w:t xml:space="preserve"> </w:t>
            </w:r>
            <w:r>
              <w:t>otsusega</w:t>
            </w:r>
            <w:r w:rsidR="00BE74B4">
              <w:t xml:space="preserve"> nr </w:t>
            </w:r>
            <w:r>
              <w:t>173</w:t>
            </w:r>
            <w:r w:rsidR="00CF72E7">
              <w:t xml:space="preserve"> </w:t>
            </w:r>
            <w:r w:rsidR="00891B59">
              <w:t>kehtestatud „</w:t>
            </w:r>
            <w:r>
              <w:rPr>
                <w:i/>
              </w:rPr>
              <w:t>Kristle maaüksuse detailplaneering</w:t>
            </w:r>
            <w:r w:rsidR="005F7ECC">
              <w:rPr>
                <w:i/>
              </w:rPr>
              <w:t>“</w:t>
            </w:r>
            <w:r w:rsidR="00A158BE">
              <w:t xml:space="preserve"> </w:t>
            </w:r>
            <w:r w:rsidR="00BE74B4">
              <w:t>osaline</w:t>
            </w:r>
            <w:r>
              <w:t xml:space="preserve"> (Püünsi tee 10</w:t>
            </w:r>
            <w:r w:rsidR="00374CF2">
              <w:t xml:space="preserve"> osas</w:t>
            </w:r>
            <w:r>
              <w:t xml:space="preserve">) </w:t>
            </w:r>
            <w:r w:rsidR="00BE74B4">
              <w:t>kehtetuks tunnistamine</w:t>
            </w:r>
          </w:p>
        </w:tc>
        <w:tc>
          <w:tcPr>
            <w:tcW w:w="4699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0D0E9B">
        <w:tc>
          <w:tcPr>
            <w:tcW w:w="9180" w:type="dxa"/>
            <w:gridSpan w:val="3"/>
          </w:tcPr>
          <w:p w:rsidR="006E100F" w:rsidRPr="007E7EDE" w:rsidRDefault="006E100F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szCs w:val="24"/>
              </w:rPr>
            </w:pPr>
            <w:r w:rsidRPr="007E7EDE">
              <w:rPr>
                <w:szCs w:val="24"/>
              </w:rPr>
              <w:t>Viimsi Vallavolikogu</w:t>
            </w:r>
            <w:r w:rsidR="00D36627" w:rsidRPr="007E7EDE">
              <w:rPr>
                <w:szCs w:val="24"/>
              </w:rPr>
              <w:t xml:space="preserve"> </w:t>
            </w:r>
            <w:r w:rsidRPr="007E7EDE">
              <w:rPr>
                <w:szCs w:val="24"/>
              </w:rPr>
              <w:t>14.12.1999</w:t>
            </w:r>
            <w:r w:rsidR="006A6B07" w:rsidRPr="007E7EDE">
              <w:rPr>
                <w:szCs w:val="24"/>
              </w:rPr>
              <w:t xml:space="preserve"> </w:t>
            </w:r>
            <w:r w:rsidRPr="007E7EDE">
              <w:rPr>
                <w:szCs w:val="24"/>
              </w:rPr>
              <w:t>otsuse</w:t>
            </w:r>
            <w:r w:rsidR="00D36627" w:rsidRPr="007E7EDE">
              <w:rPr>
                <w:szCs w:val="24"/>
              </w:rPr>
              <w:t xml:space="preserve">ga </w:t>
            </w:r>
            <w:r w:rsidR="006A6B07" w:rsidRPr="007E7EDE">
              <w:rPr>
                <w:szCs w:val="24"/>
              </w:rPr>
              <w:t xml:space="preserve">nr </w:t>
            </w:r>
            <w:r w:rsidRPr="007E7EDE">
              <w:rPr>
                <w:szCs w:val="24"/>
              </w:rPr>
              <w:t>173</w:t>
            </w:r>
            <w:r w:rsidR="006A6B07" w:rsidRPr="007E7EDE">
              <w:rPr>
                <w:szCs w:val="24"/>
              </w:rPr>
              <w:t xml:space="preserve"> kehtestati </w:t>
            </w:r>
            <w:r w:rsidRPr="007E7EDE">
              <w:rPr>
                <w:szCs w:val="24"/>
              </w:rPr>
              <w:t>Püünsi</w:t>
            </w:r>
            <w:r w:rsidR="00AB1858" w:rsidRPr="007E7EDE">
              <w:rPr>
                <w:szCs w:val="24"/>
              </w:rPr>
              <w:t xml:space="preserve"> külas</w:t>
            </w:r>
            <w:r w:rsidRPr="007E7EDE">
              <w:rPr>
                <w:szCs w:val="24"/>
              </w:rPr>
              <w:t xml:space="preserve"> Kristle maaüksuse detailplaneering (</w:t>
            </w:r>
            <w:r w:rsidR="00C76237" w:rsidRPr="007E7EDE">
              <w:rPr>
                <w:szCs w:val="24"/>
              </w:rPr>
              <w:t>edaspidi Detailplaneering)</w:t>
            </w:r>
            <w:r w:rsidR="005858D6" w:rsidRPr="007E7EDE">
              <w:rPr>
                <w:szCs w:val="24"/>
              </w:rPr>
              <w:t>.</w:t>
            </w:r>
            <w:r w:rsidR="006A6B07" w:rsidRPr="007E7EDE">
              <w:rPr>
                <w:szCs w:val="24"/>
              </w:rPr>
              <w:t xml:space="preserve"> </w:t>
            </w:r>
            <w:r w:rsidR="00C76237" w:rsidRPr="007E7EDE">
              <w:rPr>
                <w:szCs w:val="24"/>
              </w:rPr>
              <w:t xml:space="preserve">Detailplaneeringuga jagati </w:t>
            </w:r>
            <w:r w:rsidRPr="007E7EDE">
              <w:rPr>
                <w:szCs w:val="24"/>
              </w:rPr>
              <w:t>9305</w:t>
            </w:r>
            <w:r w:rsidR="005858D6" w:rsidRPr="007E7EDE">
              <w:rPr>
                <w:szCs w:val="24"/>
              </w:rPr>
              <w:t xml:space="preserve"> m² suurune </w:t>
            </w:r>
            <w:r w:rsidR="00C256A4">
              <w:rPr>
                <w:szCs w:val="24"/>
              </w:rPr>
              <w:t>k</w:t>
            </w:r>
            <w:r w:rsidR="00C76237" w:rsidRPr="007E7EDE">
              <w:rPr>
                <w:szCs w:val="24"/>
              </w:rPr>
              <w:t>innistu</w:t>
            </w:r>
            <w:r w:rsidR="00761B32" w:rsidRPr="007E7EDE">
              <w:rPr>
                <w:szCs w:val="24"/>
              </w:rPr>
              <w:t xml:space="preserve"> </w:t>
            </w:r>
            <w:r w:rsidR="00C76237" w:rsidRPr="007E7EDE">
              <w:rPr>
                <w:szCs w:val="24"/>
              </w:rPr>
              <w:t>k</w:t>
            </w:r>
            <w:r w:rsidRPr="007E7EDE">
              <w:rPr>
                <w:szCs w:val="24"/>
              </w:rPr>
              <w:t>uueks krundiks</w:t>
            </w:r>
            <w:r w:rsidR="00761B32" w:rsidRPr="007E7EDE">
              <w:rPr>
                <w:szCs w:val="24"/>
              </w:rPr>
              <w:t xml:space="preserve"> –</w:t>
            </w:r>
            <w:r w:rsidR="00F36B92" w:rsidRPr="007E7EDE">
              <w:rPr>
                <w:szCs w:val="24"/>
              </w:rPr>
              <w:t xml:space="preserve"> </w:t>
            </w:r>
            <w:r w:rsidR="00761B32" w:rsidRPr="007E7EDE">
              <w:rPr>
                <w:szCs w:val="24"/>
              </w:rPr>
              <w:t xml:space="preserve">neist </w:t>
            </w:r>
            <w:r w:rsidRPr="007E7EDE">
              <w:rPr>
                <w:szCs w:val="24"/>
              </w:rPr>
              <w:t>5</w:t>
            </w:r>
            <w:r w:rsidR="00F36B92" w:rsidRPr="007E7EDE">
              <w:rPr>
                <w:szCs w:val="24"/>
              </w:rPr>
              <w:t xml:space="preserve"> planeeriti üksikel</w:t>
            </w:r>
            <w:r w:rsidRPr="007E7EDE">
              <w:rPr>
                <w:szCs w:val="24"/>
              </w:rPr>
              <w:t xml:space="preserve">amukruntideks ja üks liiklusmaa </w:t>
            </w:r>
            <w:r w:rsidR="00374CF2" w:rsidRPr="007E7EDE">
              <w:rPr>
                <w:szCs w:val="24"/>
              </w:rPr>
              <w:t>siht</w:t>
            </w:r>
            <w:r w:rsidR="00F36B92" w:rsidRPr="007E7EDE">
              <w:rPr>
                <w:szCs w:val="24"/>
              </w:rPr>
              <w:t>otstarbega krundiks.</w:t>
            </w:r>
            <w:r w:rsidR="00C76237" w:rsidRPr="007E7EDE">
              <w:rPr>
                <w:szCs w:val="24"/>
              </w:rPr>
              <w:t xml:space="preserve"> </w:t>
            </w:r>
            <w:r w:rsidR="00374CF2" w:rsidRPr="007E7EDE">
              <w:rPr>
                <w:szCs w:val="24"/>
              </w:rPr>
              <w:t>Detailplaneeringuga määrati e</w:t>
            </w:r>
            <w:r w:rsidR="00F36B92" w:rsidRPr="007E7EDE">
              <w:rPr>
                <w:szCs w:val="24"/>
              </w:rPr>
              <w:t>lamukruntidele</w:t>
            </w:r>
            <w:r w:rsidR="00F7042F" w:rsidRPr="007E7EDE">
              <w:rPr>
                <w:szCs w:val="24"/>
              </w:rPr>
              <w:t xml:space="preserve"> nr</w:t>
            </w:r>
            <w:r w:rsidRPr="007E7EDE">
              <w:rPr>
                <w:szCs w:val="24"/>
              </w:rPr>
              <w:t xml:space="preserve"> 1 kuni 4</w:t>
            </w:r>
            <w:r w:rsidR="00C76237" w:rsidRPr="007E7EDE">
              <w:rPr>
                <w:szCs w:val="24"/>
              </w:rPr>
              <w:t xml:space="preserve"> </w:t>
            </w:r>
            <w:r w:rsidR="00C160C3" w:rsidRPr="007E7EDE">
              <w:rPr>
                <w:szCs w:val="24"/>
              </w:rPr>
              <w:t>ehitusõigus</w:t>
            </w:r>
            <w:r w:rsidR="00DC00C4" w:rsidRPr="007E7EDE">
              <w:rPr>
                <w:szCs w:val="24"/>
              </w:rPr>
              <w:t xml:space="preserve"> ühe üksikelamu ja </w:t>
            </w:r>
            <w:r w:rsidRPr="007E7EDE">
              <w:rPr>
                <w:szCs w:val="24"/>
              </w:rPr>
              <w:t>ühe abihoone</w:t>
            </w:r>
            <w:r w:rsidR="00DC00C4" w:rsidRPr="007E7EDE">
              <w:rPr>
                <w:szCs w:val="24"/>
              </w:rPr>
              <w:t xml:space="preserve"> ehitamiseks</w:t>
            </w:r>
            <w:r w:rsidR="00F7042F" w:rsidRPr="007E7EDE">
              <w:rPr>
                <w:szCs w:val="24"/>
              </w:rPr>
              <w:t xml:space="preserve"> ning elamukrundile nr</w:t>
            </w:r>
            <w:r w:rsidRPr="007E7EDE">
              <w:rPr>
                <w:szCs w:val="24"/>
              </w:rPr>
              <w:t xml:space="preserve"> 5 määrati ehitusõigus ainult üks</w:t>
            </w:r>
            <w:r w:rsidR="00374CF2" w:rsidRPr="007E7EDE">
              <w:rPr>
                <w:szCs w:val="24"/>
              </w:rPr>
              <w:t>i</w:t>
            </w:r>
            <w:r w:rsidRPr="007E7EDE">
              <w:rPr>
                <w:szCs w:val="24"/>
              </w:rPr>
              <w:t>kelamu ehitamiseks.</w:t>
            </w:r>
            <w:r w:rsidR="00F36B92" w:rsidRPr="007E7EDE">
              <w:rPr>
                <w:szCs w:val="24"/>
              </w:rPr>
              <w:t xml:space="preserve"> </w:t>
            </w:r>
            <w:r w:rsidR="00374CF2" w:rsidRPr="007E7EDE">
              <w:rPr>
                <w:szCs w:val="24"/>
              </w:rPr>
              <w:t xml:space="preserve">Detailplaneeringuga </w:t>
            </w:r>
            <w:r w:rsidRPr="007E7EDE">
              <w:rPr>
                <w:szCs w:val="24"/>
              </w:rPr>
              <w:t xml:space="preserve">moodustatud krunt </w:t>
            </w:r>
            <w:r w:rsidR="00374CF2" w:rsidRPr="007E7EDE">
              <w:rPr>
                <w:szCs w:val="24"/>
              </w:rPr>
              <w:t xml:space="preserve">nr 5 </w:t>
            </w:r>
            <w:r w:rsidRPr="007E7EDE">
              <w:rPr>
                <w:szCs w:val="24"/>
              </w:rPr>
              <w:t>kannab täna maakatastris aadressi Püünsi tee 10</w:t>
            </w:r>
            <w:r w:rsidR="001E15ED" w:rsidRPr="007E7EDE">
              <w:rPr>
                <w:szCs w:val="24"/>
              </w:rPr>
              <w:t xml:space="preserve"> (edaspidi Kinnistu)</w:t>
            </w:r>
            <w:r w:rsidRPr="007E7EDE">
              <w:rPr>
                <w:szCs w:val="24"/>
              </w:rPr>
              <w:t xml:space="preserve">. </w:t>
            </w:r>
          </w:p>
          <w:p w:rsidR="00D039D0" w:rsidRPr="007E7EDE" w:rsidRDefault="00D039D0" w:rsidP="005D310E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23.02.2017 esitasid 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>Kinnistu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kaas</w:t>
            </w:r>
            <w:r w:rsidR="002841D0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omanik</w:t>
            </w:r>
            <w:r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ud </w:t>
            </w:r>
            <w:r w:rsidR="007E7EDE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Erki Tammleht ja Natalja</w:t>
            </w:r>
            <w:r w:rsidR="005D31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E7EDE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Velikanova </w:t>
            </w:r>
            <w:r w:rsidR="00DB2FBC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avaldus</w:t>
            </w:r>
            <w:r w:rsidR="002841D0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="00DB2FBC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(registreeritud valla dokume</w:t>
            </w:r>
            <w:r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ndiregistris </w:t>
            </w:r>
            <w:r w:rsidR="007E7EDE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numbriga 10-10/997 – 23.02.2017</w:t>
            </w:r>
            <w:r w:rsidR="00DB2FBC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45D27" w:rsidRPr="005F47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45D27" w:rsidRPr="007E7EDE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ailplaneeringu osaliseks kehtetuks tunnistamiseks 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Kinnistu 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>ulatuses</w:t>
            </w:r>
            <w:r w:rsidR="00DB2FBC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27" w:rsidRPr="007E7EDE">
              <w:rPr>
                <w:rFonts w:ascii="Times New Roman" w:hAnsi="Times New Roman" w:cs="Times New Roman"/>
                <w:sz w:val="24"/>
                <w:szCs w:val="24"/>
              </w:rPr>
              <w:t>sest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detailplaneeringuga 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ettenähtud hoonestusala ja lubatud ehitusõigus ei vasta 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>Kinnistu omanike ootusele</w:t>
            </w:r>
            <w:r w:rsidR="007E7EDE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valla üldplaneeringuga antud piirkonnas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lubatud ehitusõigusele. Samuti on detailplaneeringus elektrikõrgepingeliini servituudiala vajadus tänaseks</w:t>
            </w:r>
            <w:r w:rsidR="000B3088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ära kadunud, sest aastaid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kinnistut põhja-lõ</w:t>
            </w:r>
            <w:r w:rsidR="001E15ED" w:rsidRPr="007E7EDE">
              <w:rPr>
                <w:rFonts w:ascii="Times New Roman" w:hAnsi="Times New Roman" w:cs="Times New Roman"/>
                <w:sz w:val="24"/>
                <w:szCs w:val="24"/>
              </w:rPr>
              <w:t>unasuunaliselt läbinud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õhuliin on asendatud kinnistu piiridest väljapoole jääva maakaab</w:t>
            </w:r>
            <w:r w:rsidR="007E7EDE">
              <w:rPr>
                <w:rFonts w:ascii="Times New Roman" w:hAnsi="Times New Roman" w:cs="Times New Roman"/>
                <w:sz w:val="24"/>
                <w:szCs w:val="24"/>
              </w:rPr>
              <w:t>elliiniga</w:t>
            </w:r>
            <w:r w:rsidR="000B3088" w:rsidRPr="007E7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2FBC" w:rsidRPr="007E7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5ED" w:rsidRPr="007E7EDE" w:rsidRDefault="00D039D0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szCs w:val="24"/>
              </w:rPr>
            </w:pPr>
            <w:r w:rsidRPr="007E7EDE">
              <w:rPr>
                <w:szCs w:val="24"/>
              </w:rPr>
              <w:t>Kinnistu</w:t>
            </w:r>
            <w:r w:rsidR="00F7042F" w:rsidRPr="007E7EDE">
              <w:rPr>
                <w:szCs w:val="24"/>
              </w:rPr>
              <w:t>, pindalaga 1203 m²</w:t>
            </w:r>
            <w:r w:rsidR="00C256A4">
              <w:rPr>
                <w:szCs w:val="24"/>
              </w:rPr>
              <w:t xml:space="preserve">, </w:t>
            </w:r>
            <w:r w:rsidR="007E7EDE">
              <w:rPr>
                <w:szCs w:val="24"/>
              </w:rPr>
              <w:t xml:space="preserve">sihtotstarbega elamumaa </w:t>
            </w:r>
            <w:r w:rsidRPr="007E7EDE">
              <w:rPr>
                <w:szCs w:val="24"/>
              </w:rPr>
              <w:t xml:space="preserve">asub Viimsi valla üldplaneeringu kohaselt tiheasustusalal, kus </w:t>
            </w:r>
            <w:r w:rsidR="00A64B36" w:rsidRPr="007E7EDE">
              <w:rPr>
                <w:szCs w:val="24"/>
              </w:rPr>
              <w:t>projekteerimistingimustega</w:t>
            </w:r>
            <w:r w:rsidR="00F7042F" w:rsidRPr="007E7EDE">
              <w:rPr>
                <w:szCs w:val="24"/>
              </w:rPr>
              <w:t xml:space="preserve"> on omavalitsusel võimalik</w:t>
            </w:r>
            <w:r w:rsidR="00A64B36" w:rsidRPr="007E7EDE">
              <w:rPr>
                <w:szCs w:val="24"/>
              </w:rPr>
              <w:t xml:space="preserve"> anda ehitusõigus</w:t>
            </w:r>
            <w:r w:rsidR="000B3088" w:rsidRPr="007E7EDE">
              <w:rPr>
                <w:szCs w:val="24"/>
              </w:rPr>
              <w:t xml:space="preserve"> ka ilma deta</w:t>
            </w:r>
            <w:r w:rsidR="007E7EDE">
              <w:rPr>
                <w:szCs w:val="24"/>
              </w:rPr>
              <w:t>ilplaneeringut koostamata</w:t>
            </w:r>
            <w:r w:rsidR="001E15ED" w:rsidRPr="007E7EDE">
              <w:rPr>
                <w:szCs w:val="24"/>
              </w:rPr>
              <w:t xml:space="preserve"> kui K</w:t>
            </w:r>
            <w:r w:rsidR="000B3088" w:rsidRPr="007E7EDE">
              <w:rPr>
                <w:szCs w:val="24"/>
              </w:rPr>
              <w:t xml:space="preserve">innistu sihtotstarve vastab üldplaneeringus toodud </w:t>
            </w:r>
            <w:r w:rsidR="007E7EDE">
              <w:rPr>
                <w:szCs w:val="24"/>
              </w:rPr>
              <w:t>maakasutuse juhtotstarb</w:t>
            </w:r>
            <w:r w:rsidR="001E15ED" w:rsidRPr="007E7EDE">
              <w:rPr>
                <w:szCs w:val="24"/>
              </w:rPr>
              <w:t>ele ja kui</w:t>
            </w:r>
            <w:r w:rsidR="000B3088" w:rsidRPr="007E7EDE">
              <w:rPr>
                <w:szCs w:val="24"/>
              </w:rPr>
              <w:t xml:space="preserve"> kavandatav hoonestus </w:t>
            </w:r>
            <w:r w:rsidR="001E15ED" w:rsidRPr="007E7EDE">
              <w:rPr>
                <w:szCs w:val="24"/>
              </w:rPr>
              <w:t xml:space="preserve">arvestab asukohas väljakujunenud keskkonnaga, sealhulgas olemasoleva hoonestuslaadiga. </w:t>
            </w:r>
          </w:p>
          <w:p w:rsidR="00F36B92" w:rsidRDefault="00761B32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szCs w:val="24"/>
              </w:rPr>
            </w:pPr>
            <w:r w:rsidRPr="007E7EDE">
              <w:rPr>
                <w:szCs w:val="24"/>
              </w:rPr>
              <w:t>Projekteerimistingimusi</w:t>
            </w:r>
            <w:r w:rsidR="00C256A4">
              <w:rPr>
                <w:szCs w:val="24"/>
              </w:rPr>
              <w:t xml:space="preserve"> d</w:t>
            </w:r>
            <w:r w:rsidR="00245D27" w:rsidRPr="007E7EDE">
              <w:rPr>
                <w:szCs w:val="24"/>
              </w:rPr>
              <w:t>etailplaneeringu kehtivuse korral aga väl</w:t>
            </w:r>
            <w:r w:rsidR="001E15ED" w:rsidRPr="007E7EDE">
              <w:rPr>
                <w:szCs w:val="24"/>
              </w:rPr>
              <w:t>jastada ei saa, sest Kinnistu omanike soovitud</w:t>
            </w:r>
            <w:r w:rsidR="00245D27" w:rsidRPr="007E7EDE">
              <w:rPr>
                <w:szCs w:val="24"/>
              </w:rPr>
              <w:t xml:space="preserve"> eesmärk</w:t>
            </w:r>
            <w:r w:rsidR="001E15ED" w:rsidRPr="007E7EDE">
              <w:rPr>
                <w:szCs w:val="24"/>
              </w:rPr>
              <w:t xml:space="preserve"> Kinnistu hoonestamisel</w:t>
            </w:r>
            <w:r w:rsidR="00245D27" w:rsidRPr="007E7EDE">
              <w:rPr>
                <w:szCs w:val="24"/>
              </w:rPr>
              <w:t xml:space="preserve"> ei vasta </w:t>
            </w:r>
            <w:r w:rsidR="004D2357" w:rsidRPr="007E7EDE">
              <w:rPr>
                <w:szCs w:val="24"/>
              </w:rPr>
              <w:t xml:space="preserve">kehtiva </w:t>
            </w:r>
            <w:r w:rsidR="00245D27" w:rsidRPr="007E7EDE">
              <w:rPr>
                <w:szCs w:val="24"/>
              </w:rPr>
              <w:t>Detailplaneeringu</w:t>
            </w:r>
            <w:r w:rsidR="007E7EDE">
              <w:rPr>
                <w:szCs w:val="24"/>
              </w:rPr>
              <w:t>ga lubatule</w:t>
            </w:r>
            <w:r w:rsidR="00245D27" w:rsidRPr="007E7EDE">
              <w:rPr>
                <w:szCs w:val="24"/>
              </w:rPr>
              <w:t xml:space="preserve">. </w:t>
            </w:r>
            <w:r w:rsidR="002841D0" w:rsidRPr="007E7EDE">
              <w:rPr>
                <w:szCs w:val="24"/>
              </w:rPr>
              <w:t>Ku</w:t>
            </w:r>
            <w:r w:rsidR="008F2162" w:rsidRPr="007E7EDE">
              <w:rPr>
                <w:szCs w:val="24"/>
              </w:rPr>
              <w:t>ivõrd</w:t>
            </w:r>
            <w:r w:rsidR="001E15ED" w:rsidRPr="007E7EDE">
              <w:rPr>
                <w:szCs w:val="24"/>
              </w:rPr>
              <w:t xml:space="preserve"> Kinnistu omanike</w:t>
            </w:r>
            <w:r w:rsidR="002841D0" w:rsidRPr="007E7EDE">
              <w:rPr>
                <w:szCs w:val="24"/>
              </w:rPr>
              <w:t xml:space="preserve"> soov</w:t>
            </w:r>
            <w:r w:rsidR="008F2162" w:rsidRPr="007E7EDE">
              <w:rPr>
                <w:szCs w:val="24"/>
              </w:rPr>
              <w:t xml:space="preserve"> </w:t>
            </w:r>
            <w:r w:rsidR="00F7042F" w:rsidRPr="007E7EDE">
              <w:rPr>
                <w:szCs w:val="24"/>
              </w:rPr>
              <w:t xml:space="preserve">on </w:t>
            </w:r>
            <w:r w:rsidR="001E15ED" w:rsidRPr="007E7EDE">
              <w:rPr>
                <w:szCs w:val="24"/>
              </w:rPr>
              <w:t>kehtiv</w:t>
            </w:r>
            <w:r w:rsidR="007E7EDE">
              <w:rPr>
                <w:szCs w:val="24"/>
              </w:rPr>
              <w:t>as Detailplaneeringus luba</w:t>
            </w:r>
            <w:r w:rsidR="001E15ED" w:rsidRPr="007E7EDE">
              <w:rPr>
                <w:szCs w:val="24"/>
              </w:rPr>
              <w:t>tust oluliselt suurem</w:t>
            </w:r>
            <w:r w:rsidR="00F7042F" w:rsidRPr="007E7EDE">
              <w:rPr>
                <w:szCs w:val="24"/>
              </w:rPr>
              <w:t>a eluhoone</w:t>
            </w:r>
            <w:r w:rsidR="001E15ED" w:rsidRPr="007E7EDE">
              <w:rPr>
                <w:szCs w:val="24"/>
              </w:rPr>
              <w:t xml:space="preserve"> ehitusõigu</w:t>
            </w:r>
            <w:r w:rsidR="00F7042F" w:rsidRPr="007E7EDE">
              <w:rPr>
                <w:szCs w:val="24"/>
              </w:rPr>
              <w:t xml:space="preserve">se saamine, </w:t>
            </w:r>
            <w:r w:rsidR="007E7EDE">
              <w:rPr>
                <w:szCs w:val="24"/>
              </w:rPr>
              <w:t>samuti abihoone ehitamise lubamine</w:t>
            </w:r>
            <w:r w:rsidR="00F7042F" w:rsidRPr="007E7EDE">
              <w:rPr>
                <w:szCs w:val="24"/>
              </w:rPr>
              <w:t xml:space="preserve"> </w:t>
            </w:r>
            <w:r w:rsidR="001E15ED" w:rsidRPr="007E7EDE">
              <w:rPr>
                <w:szCs w:val="24"/>
              </w:rPr>
              <w:t xml:space="preserve"> ja ka hoo</w:t>
            </w:r>
            <w:r w:rsidR="004D2357" w:rsidRPr="007E7EDE">
              <w:rPr>
                <w:szCs w:val="24"/>
              </w:rPr>
              <w:t>ne Kinnistule Detailplaneeringuga</w:t>
            </w:r>
            <w:r w:rsidR="001E15ED" w:rsidRPr="007E7EDE">
              <w:rPr>
                <w:szCs w:val="24"/>
              </w:rPr>
              <w:t xml:space="preserve"> lubatust teise asukohta ehitamine</w:t>
            </w:r>
            <w:r w:rsidR="008F2162" w:rsidRPr="007E7EDE">
              <w:rPr>
                <w:szCs w:val="24"/>
              </w:rPr>
              <w:t xml:space="preserve">, tuleb </w:t>
            </w:r>
            <w:r w:rsidR="004D2357" w:rsidRPr="007E7EDE">
              <w:rPr>
                <w:szCs w:val="24"/>
              </w:rPr>
              <w:t xml:space="preserve">kehtiv </w:t>
            </w:r>
            <w:r w:rsidR="008F2162" w:rsidRPr="007E7EDE">
              <w:rPr>
                <w:szCs w:val="24"/>
              </w:rPr>
              <w:t xml:space="preserve">Detailplaneering </w:t>
            </w:r>
            <w:r w:rsidR="0002399B" w:rsidRPr="007E7EDE">
              <w:rPr>
                <w:szCs w:val="24"/>
              </w:rPr>
              <w:t xml:space="preserve">Kinnistu </w:t>
            </w:r>
            <w:r w:rsidR="008F2162" w:rsidRPr="007E7EDE">
              <w:rPr>
                <w:szCs w:val="24"/>
              </w:rPr>
              <w:t>ulatuses</w:t>
            </w:r>
            <w:r w:rsidR="00DC00C4" w:rsidRPr="007E7EDE">
              <w:rPr>
                <w:szCs w:val="24"/>
              </w:rPr>
              <w:t xml:space="preserve"> tunnistada</w:t>
            </w:r>
            <w:r w:rsidR="008F2162" w:rsidRPr="007E7EDE">
              <w:rPr>
                <w:szCs w:val="24"/>
              </w:rPr>
              <w:t xml:space="preserve"> </w:t>
            </w:r>
            <w:r w:rsidR="0002399B" w:rsidRPr="007E7EDE">
              <w:rPr>
                <w:szCs w:val="24"/>
              </w:rPr>
              <w:t>kehtetuks</w:t>
            </w:r>
            <w:r w:rsidR="008F2162" w:rsidRPr="007E7EDE">
              <w:rPr>
                <w:szCs w:val="24"/>
              </w:rPr>
              <w:t>.</w:t>
            </w:r>
          </w:p>
          <w:p w:rsidR="007B7A6C" w:rsidRDefault="007B7A6C" w:rsidP="00C76237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>Detailplaneeringu osalise kehtetuks tunnistamisega ei muutu Kinnistu sihtotstarve.</w:t>
            </w:r>
            <w:r w:rsidR="005D310E">
              <w:t xml:space="preserve"> </w:t>
            </w:r>
          </w:p>
          <w:p w:rsidR="00470FD1" w:rsidRPr="00DF0F09" w:rsidRDefault="00DF0F09" w:rsidP="001E2362">
            <w:pPr>
              <w:pStyle w:val="Kehatekst"/>
              <w:tabs>
                <w:tab w:val="left" w:pos="6521"/>
                <w:tab w:val="left" w:pos="7350"/>
              </w:tabs>
              <w:spacing w:before="120" w:after="120"/>
              <w:rPr>
                <w:szCs w:val="24"/>
              </w:rPr>
            </w:pPr>
            <w:r>
              <w:rPr>
                <w:color w:val="000000"/>
              </w:rPr>
              <w:t>Lähtudes eeltoodud selgitustest, kohaliku omavalitsuse korrald</w:t>
            </w:r>
            <w:r w:rsidR="005D310E">
              <w:rPr>
                <w:color w:val="000000"/>
              </w:rPr>
              <w:t xml:space="preserve">use seaduse § 3 punktist 1, </w:t>
            </w:r>
            <w:r>
              <w:rPr>
                <w:color w:val="000000"/>
              </w:rPr>
              <w:t>§ 6 lõikest 1, § 22 lõike 1 punktist 33, haldusmenetluse seaduse §-dest 64 – 70, planeerimisseaduse § 140 lõike 1 punktist 2</w:t>
            </w:r>
            <w:r w:rsidR="00FD62D3">
              <w:rPr>
                <w:color w:val="000000"/>
              </w:rPr>
              <w:t>, lõikest 2, lõikest 6</w:t>
            </w:r>
            <w:r>
              <w:rPr>
                <w:color w:val="000000"/>
              </w:rPr>
              <w:t xml:space="preserve"> ja Viimsi Vallavolikogu 27.04.2016 määruse nr 17 „Planeerimisseaduse rakendamine Viimsi valla</w:t>
            </w:r>
            <w:r w:rsidR="00FE18B8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“ § 3 punktist 4 ja arvestades, et Detailplaneeringu osalise kehtetuks tunnistamisega ei muudeta ülejäänud Detailplaneeringu </w:t>
            </w:r>
            <w:r>
              <w:rPr>
                <w:color w:val="000000"/>
              </w:rPr>
              <w:lastRenderedPageBreak/>
              <w:t>osa elluviimist võimatuks ja et antud otsusega ei kahjustata teiste isikute seaduslikke õigusi,</w:t>
            </w:r>
            <w:r w:rsidR="0038125F" w:rsidRPr="007E7EDE">
              <w:rPr>
                <w:noProof/>
                <w:color w:val="FF0000"/>
                <w:szCs w:val="24"/>
              </w:rPr>
              <w:t xml:space="preserve"> </w:t>
            </w:r>
            <w:r w:rsidR="0038125F" w:rsidRPr="00DF0F09">
              <w:rPr>
                <w:noProof/>
                <w:szCs w:val="24"/>
              </w:rPr>
              <w:t>Viimsi Vallavolikogu</w:t>
            </w:r>
          </w:p>
        </w:tc>
      </w:tr>
      <w:tr w:rsidR="007E31D1" w:rsidTr="00062EDB">
        <w:trPr>
          <w:cantSplit/>
        </w:trPr>
        <w:tc>
          <w:tcPr>
            <w:tcW w:w="9180" w:type="dxa"/>
            <w:gridSpan w:val="3"/>
          </w:tcPr>
          <w:p w:rsidR="007E31D1" w:rsidRDefault="007E31D1" w:rsidP="00EA74FF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38125F" w:rsidRDefault="005D310E" w:rsidP="00EA74FF">
      <w:pPr>
        <w:pStyle w:val="Loetelu"/>
        <w:numPr>
          <w:ilvl w:val="0"/>
          <w:numId w:val="0"/>
        </w:numPr>
        <w:spacing w:before="0"/>
        <w:rPr>
          <w:noProof/>
        </w:rPr>
      </w:pPr>
      <w:r>
        <w:rPr>
          <w:noProof/>
        </w:rPr>
        <w:t xml:space="preserve">  o</w:t>
      </w:r>
      <w:r w:rsidR="00692ECF">
        <w:rPr>
          <w:noProof/>
        </w:rPr>
        <w:t xml:space="preserve"> </w:t>
      </w:r>
      <w:r w:rsidR="0038125F">
        <w:rPr>
          <w:noProof/>
        </w:rPr>
        <w:t>t</w:t>
      </w:r>
      <w:r w:rsidR="00692ECF">
        <w:rPr>
          <w:noProof/>
        </w:rPr>
        <w:t xml:space="preserve"> </w:t>
      </w:r>
      <w:r w:rsidR="0038125F">
        <w:rPr>
          <w:noProof/>
        </w:rPr>
        <w:t>s</w:t>
      </w:r>
      <w:r w:rsidR="00692ECF">
        <w:rPr>
          <w:noProof/>
        </w:rPr>
        <w:t xml:space="preserve"> </w:t>
      </w:r>
      <w:r w:rsidR="0038125F">
        <w:rPr>
          <w:noProof/>
        </w:rPr>
        <w:t>u</w:t>
      </w:r>
      <w:r w:rsidR="00692ECF">
        <w:rPr>
          <w:noProof/>
        </w:rPr>
        <w:t xml:space="preserve"> </w:t>
      </w:r>
      <w:r w:rsidR="0038125F">
        <w:rPr>
          <w:noProof/>
        </w:rPr>
        <w:t>s</w:t>
      </w:r>
      <w:r w:rsidR="00692ECF">
        <w:rPr>
          <w:noProof/>
        </w:rPr>
        <w:t xml:space="preserve"> </w:t>
      </w:r>
      <w:r w:rsidR="0038125F">
        <w:rPr>
          <w:noProof/>
        </w:rPr>
        <w:t>t</w:t>
      </w:r>
      <w:r w:rsidR="00692ECF">
        <w:rPr>
          <w:noProof/>
        </w:rPr>
        <w:t xml:space="preserve"> </w:t>
      </w:r>
      <w:r w:rsidR="0038125F">
        <w:rPr>
          <w:noProof/>
        </w:rPr>
        <w:t>a</w:t>
      </w:r>
      <w:r w:rsidR="00692ECF">
        <w:rPr>
          <w:noProof/>
        </w:rPr>
        <w:t xml:space="preserve"> </w:t>
      </w:r>
      <w:r w:rsidR="0038125F">
        <w:rPr>
          <w:noProof/>
        </w:rPr>
        <w:t>b:</w:t>
      </w:r>
    </w:p>
    <w:p w:rsidR="0014355B" w:rsidRDefault="0014355B" w:rsidP="00EA74FF">
      <w:pPr>
        <w:pStyle w:val="Loetelu"/>
        <w:numPr>
          <w:ilvl w:val="0"/>
          <w:numId w:val="0"/>
        </w:numPr>
        <w:spacing w:before="0"/>
        <w:rPr>
          <w:noProof/>
        </w:rPr>
      </w:pPr>
    </w:p>
    <w:p w:rsidR="00891B59" w:rsidRDefault="007A0F5A" w:rsidP="0014355B">
      <w:pPr>
        <w:pStyle w:val="Loetelu"/>
        <w:numPr>
          <w:ilvl w:val="0"/>
          <w:numId w:val="9"/>
        </w:numPr>
        <w:spacing w:before="0"/>
        <w:ind w:left="567" w:hanging="425"/>
        <w:rPr>
          <w:noProof/>
        </w:rPr>
      </w:pPr>
      <w:r>
        <w:t xml:space="preserve">Tunnistada </w:t>
      </w:r>
      <w:r w:rsidR="001475F3">
        <w:t xml:space="preserve">osaliselt </w:t>
      </w:r>
      <w:r>
        <w:t>k</w:t>
      </w:r>
      <w:r w:rsidR="002651C1">
        <w:t xml:space="preserve">ehtetuks </w:t>
      </w:r>
      <w:r w:rsidR="00F7042F">
        <w:t>Viimsi Vallavolikogu 14.12.1999 otsusega nr 173</w:t>
      </w:r>
      <w:r w:rsidR="001E2362">
        <w:t xml:space="preserve"> </w:t>
      </w:r>
      <w:r w:rsidR="00D36627">
        <w:t>kehtestatud „</w:t>
      </w:r>
      <w:r w:rsidR="00F7042F" w:rsidRPr="00F7042F">
        <w:t>Kristle maaüksuse detailplaneering“</w:t>
      </w:r>
      <w:r w:rsidR="00891B59">
        <w:t xml:space="preserve"> </w:t>
      </w:r>
      <w:r w:rsidR="00F7042F">
        <w:t>detailplaneering</w:t>
      </w:r>
      <w:r w:rsidR="005F476B">
        <w:t>u</w:t>
      </w:r>
      <w:r w:rsidR="00F7042F">
        <w:t xml:space="preserve"> krundi nr 5</w:t>
      </w:r>
      <w:r w:rsidR="00891B59">
        <w:t xml:space="preserve"> osas.</w:t>
      </w:r>
    </w:p>
    <w:p w:rsidR="00692ECF" w:rsidRPr="006569DB" w:rsidRDefault="00692ECF" w:rsidP="0014355B">
      <w:pPr>
        <w:pStyle w:val="Loetelu"/>
        <w:numPr>
          <w:ilvl w:val="0"/>
          <w:numId w:val="9"/>
        </w:numPr>
        <w:ind w:left="567" w:hanging="425"/>
      </w:pPr>
      <w:r w:rsidRPr="00284C06">
        <w:t>Otsus</w:t>
      </w:r>
      <w:r>
        <w:t>e punkt 1</w:t>
      </w:r>
      <w:r w:rsidRPr="00284C06">
        <w:t xml:space="preserve"> avaldada ajaleh</w:t>
      </w:r>
      <w:r>
        <w:t>t</w:t>
      </w:r>
      <w:r w:rsidRPr="00284C06">
        <w:t>e</w:t>
      </w:r>
      <w:r>
        <w:t>de</w:t>
      </w:r>
      <w:r w:rsidRPr="00284C06">
        <w:t>s Viimsi Teataja</w:t>
      </w:r>
      <w:r>
        <w:t xml:space="preserve"> ja Harju Elu ning terviktekst</w:t>
      </w:r>
      <w:r w:rsidRPr="00284C06">
        <w:t xml:space="preserve"> </w:t>
      </w:r>
      <w:r>
        <w:t>Ametlikes Teadaannetes ja Viimsi valla veebilehel, otsuse ärakiri edastada Maa-ametile.</w:t>
      </w:r>
    </w:p>
    <w:p w:rsidR="000E52C4" w:rsidRDefault="000E52C4" w:rsidP="0014355B">
      <w:pPr>
        <w:pStyle w:val="Loetelu"/>
        <w:numPr>
          <w:ilvl w:val="0"/>
          <w:numId w:val="9"/>
        </w:numPr>
        <w:ind w:left="567" w:hanging="425"/>
        <w:rPr>
          <w:noProof/>
        </w:rPr>
      </w:pPr>
      <w:r>
        <w:rPr>
          <w:iCs/>
          <w:szCs w:val="24"/>
        </w:rPr>
        <w:t>Otsuse</w:t>
      </w:r>
      <w:r w:rsidRPr="00E0677D">
        <w:rPr>
          <w:iCs/>
          <w:szCs w:val="24"/>
        </w:rPr>
        <w:t xml:space="preserve"> ja sellega seotud</w:t>
      </w:r>
      <w:r>
        <w:rPr>
          <w:iCs/>
          <w:szCs w:val="24"/>
        </w:rPr>
        <w:t xml:space="preserve"> dokumentidega on võimalik tutvuda etteteatamisel Viimsi Vallavalitsuses.</w:t>
      </w:r>
      <w:r>
        <w:rPr>
          <w:noProof/>
        </w:rPr>
        <w:t xml:space="preserve"> </w:t>
      </w:r>
    </w:p>
    <w:p w:rsidR="00DF5502" w:rsidRPr="00DF5502" w:rsidRDefault="005113C8" w:rsidP="0014355B">
      <w:pPr>
        <w:pStyle w:val="Loetelu"/>
        <w:numPr>
          <w:ilvl w:val="0"/>
          <w:numId w:val="9"/>
        </w:numPr>
        <w:ind w:left="567" w:hanging="425"/>
        <w:rPr>
          <w:noProof/>
        </w:rPr>
      </w:pPr>
      <w:r>
        <w:rPr>
          <w:noProof/>
        </w:rPr>
        <w:t xml:space="preserve">Otsus </w:t>
      </w:r>
      <w:r w:rsidR="003F06B5" w:rsidRPr="00DF5502">
        <w:rPr>
          <w:noProof/>
        </w:rPr>
        <w:t>jõustub teatavakstegemisest.</w:t>
      </w:r>
    </w:p>
    <w:p w:rsidR="007E31D1" w:rsidRPr="00DF5502" w:rsidRDefault="005113C8" w:rsidP="0014355B">
      <w:pPr>
        <w:pStyle w:val="Loetelu"/>
        <w:numPr>
          <w:ilvl w:val="0"/>
          <w:numId w:val="9"/>
        </w:numPr>
        <w:ind w:left="567" w:hanging="425"/>
        <w:rPr>
          <w:noProof/>
        </w:rPr>
      </w:pPr>
      <w:r>
        <w:rPr>
          <w:noProof/>
        </w:rPr>
        <w:t>Otsust</w:t>
      </w:r>
      <w:r w:rsidR="007E31D1" w:rsidRPr="00DF5502">
        <w:rPr>
          <w:noProof/>
        </w:rPr>
        <w:t xml:space="preserve"> on võimalik vaidlustada Tallinna Halduskohtus (Pärnu mnt 7, Tallinn) või esitada vaie Viimsi Vallavalitsusele 30 päeva jooksul arvates korralduse teatavakstegemisest.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3"/>
        <w:gridCol w:w="3287"/>
      </w:tblGrid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9180" w:type="dxa"/>
            <w:gridSpan w:val="2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5893" w:type="dxa"/>
          </w:tcPr>
          <w:p w:rsidR="007E31D1" w:rsidRDefault="00F7042F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Toomas Tõniste</w:t>
            </w:r>
          </w:p>
        </w:tc>
        <w:tc>
          <w:tcPr>
            <w:tcW w:w="3287" w:type="dxa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  <w:tr w:rsidR="007E31D1" w:rsidTr="00F231DB">
        <w:trPr>
          <w:cantSplit/>
        </w:trPr>
        <w:tc>
          <w:tcPr>
            <w:tcW w:w="5893" w:type="dxa"/>
          </w:tcPr>
          <w:p w:rsidR="007E31D1" w:rsidRDefault="001B0B9F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</w:t>
            </w:r>
            <w:r w:rsidR="00737316">
              <w:rPr>
                <w:noProof/>
              </w:rPr>
              <w:t>allav</w:t>
            </w:r>
            <w:r>
              <w:rPr>
                <w:noProof/>
              </w:rPr>
              <w:t>olikogu esimees</w:t>
            </w:r>
            <w:r w:rsidR="00191C09">
              <w:rPr>
                <w:noProof/>
              </w:rPr>
              <w:t xml:space="preserve"> </w:t>
            </w:r>
          </w:p>
        </w:tc>
        <w:tc>
          <w:tcPr>
            <w:tcW w:w="3287" w:type="dxa"/>
          </w:tcPr>
          <w:p w:rsidR="007E31D1" w:rsidRDefault="007E31D1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E1072D" w:rsidRDefault="00E1072D" w:rsidP="00E1072D">
      <w:pPr>
        <w:autoSpaceDE w:val="0"/>
        <w:autoSpaceDN w:val="0"/>
        <w:jc w:val="both"/>
      </w:pPr>
    </w:p>
    <w:p w:rsidR="00E1072D" w:rsidRDefault="00E1072D" w:rsidP="00E1072D">
      <w:pPr>
        <w:autoSpaceDE w:val="0"/>
        <w:autoSpaceDN w:val="0"/>
        <w:jc w:val="both"/>
      </w:pPr>
    </w:p>
    <w:p w:rsidR="00E1072D" w:rsidRDefault="00E1072D" w:rsidP="00E1072D">
      <w:pPr>
        <w:autoSpaceDE w:val="0"/>
        <w:autoSpaceDN w:val="0"/>
        <w:jc w:val="both"/>
      </w:pPr>
    </w:p>
    <w:p w:rsidR="00E1072D" w:rsidRPr="00E1072D" w:rsidRDefault="00E1072D" w:rsidP="00E1072D">
      <w:pPr>
        <w:autoSpaceDE w:val="0"/>
        <w:autoSpaceDN w:val="0"/>
        <w:jc w:val="both"/>
      </w:pPr>
      <w:r w:rsidRPr="00E1072D">
        <w:t>Eelnõu esitaja: Viimsi Vallavalitsus</w:t>
      </w:r>
    </w:p>
    <w:p w:rsidR="00E1072D" w:rsidRPr="00E1072D" w:rsidRDefault="00F7042F" w:rsidP="00E1072D">
      <w:pPr>
        <w:autoSpaceDE w:val="0"/>
        <w:autoSpaceDN w:val="0"/>
        <w:jc w:val="both"/>
      </w:pPr>
      <w:r>
        <w:t>Eelnõu koostaja: Erik Vest, keskkonna- ja planeerimisameti juhataja</w:t>
      </w:r>
    </w:p>
    <w:p w:rsidR="00F7042F" w:rsidRPr="00E1072D" w:rsidRDefault="00F7042F" w:rsidP="00E1072D">
      <w:pPr>
        <w:jc w:val="both"/>
      </w:pPr>
    </w:p>
    <w:p w:rsidR="00E1072D" w:rsidRPr="00E1072D" w:rsidRDefault="00E1072D" w:rsidP="00E1072D">
      <w:pPr>
        <w:jc w:val="both"/>
      </w:pPr>
      <w:r w:rsidRPr="00E1072D">
        <w:t xml:space="preserve">Kooskõlastatud: </w:t>
      </w:r>
    </w:p>
    <w:p w:rsidR="00E1072D" w:rsidRPr="00E1072D" w:rsidRDefault="00E1072D" w:rsidP="00E1072D">
      <w:pPr>
        <w:jc w:val="both"/>
      </w:pPr>
    </w:p>
    <w:p w:rsidR="00E1072D" w:rsidRDefault="00E1072D" w:rsidP="00E1072D">
      <w:pPr>
        <w:jc w:val="both"/>
      </w:pPr>
    </w:p>
    <w:p w:rsidR="00692ECF" w:rsidRPr="00E1072D" w:rsidRDefault="00692ECF" w:rsidP="00E1072D">
      <w:pPr>
        <w:jc w:val="both"/>
      </w:pPr>
    </w:p>
    <w:tbl>
      <w:tblPr>
        <w:tblW w:w="9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075"/>
        <w:gridCol w:w="3075"/>
      </w:tblGrid>
      <w:tr w:rsidR="00692ECF" w:rsidRPr="00275DE0" w:rsidTr="00692ECF">
        <w:tc>
          <w:tcPr>
            <w:tcW w:w="3011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>
              <w:t>Margus Kruusmägi</w:t>
            </w:r>
          </w:p>
        </w:tc>
        <w:tc>
          <w:tcPr>
            <w:tcW w:w="3075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>
              <w:t>Erik Vest</w:t>
            </w:r>
            <w:r w:rsidRPr="00275DE0">
              <w:t xml:space="preserve"> </w:t>
            </w:r>
          </w:p>
        </w:tc>
        <w:tc>
          <w:tcPr>
            <w:tcW w:w="3075" w:type="dxa"/>
          </w:tcPr>
          <w:p w:rsidR="00692ECF" w:rsidRPr="00275DE0" w:rsidRDefault="00692ECF" w:rsidP="00692ECF">
            <w:pPr>
              <w:jc w:val="both"/>
            </w:pPr>
            <w:r w:rsidRPr="00275DE0">
              <w:t xml:space="preserve">Kristi Tomingas </w:t>
            </w:r>
          </w:p>
        </w:tc>
      </w:tr>
      <w:tr w:rsidR="00692ECF" w:rsidRPr="00275DE0" w:rsidTr="00692ECF">
        <w:tc>
          <w:tcPr>
            <w:tcW w:w="3011" w:type="dxa"/>
            <w:shd w:val="clear" w:color="auto" w:fill="auto"/>
          </w:tcPr>
          <w:p w:rsidR="00692ECF" w:rsidRPr="00275DE0" w:rsidRDefault="00692ECF" w:rsidP="00692ECF">
            <w:pPr>
              <w:jc w:val="both"/>
            </w:pPr>
            <w:r w:rsidRPr="00275DE0">
              <w:t>Abivallavanem</w:t>
            </w:r>
          </w:p>
        </w:tc>
        <w:tc>
          <w:tcPr>
            <w:tcW w:w="3075" w:type="dxa"/>
            <w:shd w:val="clear" w:color="auto" w:fill="auto"/>
          </w:tcPr>
          <w:p w:rsidR="00692ECF" w:rsidRPr="00275DE0" w:rsidRDefault="00F7042F" w:rsidP="00692ECF">
            <w:r>
              <w:t>Keskkonna</w:t>
            </w:r>
            <w:r w:rsidR="00692ECF">
              <w:t>- ja planeerimisameti juhataja</w:t>
            </w:r>
          </w:p>
        </w:tc>
        <w:tc>
          <w:tcPr>
            <w:tcW w:w="3075" w:type="dxa"/>
          </w:tcPr>
          <w:p w:rsidR="00692ECF" w:rsidRPr="00275DE0" w:rsidRDefault="00692ECF" w:rsidP="00692ECF">
            <w:pPr>
              <w:jc w:val="both"/>
            </w:pPr>
            <w:r w:rsidRPr="00275DE0">
              <w:t>Vallasekretär</w:t>
            </w:r>
          </w:p>
        </w:tc>
      </w:tr>
    </w:tbl>
    <w:p w:rsidR="00737316" w:rsidRDefault="00737316" w:rsidP="00737316">
      <w:pPr>
        <w:jc w:val="both"/>
      </w:pPr>
    </w:p>
    <w:sectPr w:rsidR="00737316" w:rsidSect="005D310E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34" w:rsidRDefault="00A53434" w:rsidP="00EA782A">
      <w:r>
        <w:separator/>
      </w:r>
    </w:p>
  </w:endnote>
  <w:endnote w:type="continuationSeparator" w:id="0">
    <w:p w:rsidR="00A53434" w:rsidRDefault="00A53434" w:rsidP="00EA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34" w:rsidRDefault="00A53434" w:rsidP="00EA782A">
      <w:r>
        <w:separator/>
      </w:r>
    </w:p>
  </w:footnote>
  <w:footnote w:type="continuationSeparator" w:id="0">
    <w:p w:rsidR="00A53434" w:rsidRDefault="00A53434" w:rsidP="00EA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ED" w:rsidRDefault="002352ED" w:rsidP="00EA782A">
    <w:pPr>
      <w:pStyle w:val="Pis"/>
      <w:jc w:val="right"/>
    </w:pPr>
  </w:p>
  <w:p w:rsidR="002352ED" w:rsidRDefault="002352E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906"/>
    <w:multiLevelType w:val="hybridMultilevel"/>
    <w:tmpl w:val="D3D055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6120"/>
    <w:multiLevelType w:val="multilevel"/>
    <w:tmpl w:val="CB144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80230B"/>
    <w:multiLevelType w:val="hybridMultilevel"/>
    <w:tmpl w:val="0D4207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FD0EB2"/>
    <w:multiLevelType w:val="hybridMultilevel"/>
    <w:tmpl w:val="35D0B99E"/>
    <w:lvl w:ilvl="0" w:tplc="7A22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40142"/>
    <w:multiLevelType w:val="hybridMultilevel"/>
    <w:tmpl w:val="D71600C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21AD5"/>
    <w:multiLevelType w:val="multilevel"/>
    <w:tmpl w:val="0E9E1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CE36EF"/>
    <w:multiLevelType w:val="multilevel"/>
    <w:tmpl w:val="357C451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F2A7483"/>
    <w:multiLevelType w:val="hybridMultilevel"/>
    <w:tmpl w:val="484A9730"/>
    <w:lvl w:ilvl="0" w:tplc="EE2007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178DC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7617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FAB9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8230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0676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FA1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D410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C026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63C12"/>
    <w:multiLevelType w:val="hybridMultilevel"/>
    <w:tmpl w:val="80E693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15"/>
    <w:rsid w:val="0000111C"/>
    <w:rsid w:val="00002E30"/>
    <w:rsid w:val="00011A5E"/>
    <w:rsid w:val="00013462"/>
    <w:rsid w:val="00016930"/>
    <w:rsid w:val="0002399B"/>
    <w:rsid w:val="00047BC9"/>
    <w:rsid w:val="000549A8"/>
    <w:rsid w:val="000608AD"/>
    <w:rsid w:val="00062EDB"/>
    <w:rsid w:val="00075EB6"/>
    <w:rsid w:val="000838AC"/>
    <w:rsid w:val="000A5BED"/>
    <w:rsid w:val="000B0F33"/>
    <w:rsid w:val="000B20AE"/>
    <w:rsid w:val="000B3088"/>
    <w:rsid w:val="000B41CF"/>
    <w:rsid w:val="000B7999"/>
    <w:rsid w:val="000C3924"/>
    <w:rsid w:val="000C40D8"/>
    <w:rsid w:val="000C4F2A"/>
    <w:rsid w:val="000C78C7"/>
    <w:rsid w:val="000D0E9B"/>
    <w:rsid w:val="000D0EEE"/>
    <w:rsid w:val="000D426D"/>
    <w:rsid w:val="000E3728"/>
    <w:rsid w:val="000E52C4"/>
    <w:rsid w:val="000E57D5"/>
    <w:rsid w:val="000E5892"/>
    <w:rsid w:val="0011097C"/>
    <w:rsid w:val="0011473F"/>
    <w:rsid w:val="00114F1F"/>
    <w:rsid w:val="001211E3"/>
    <w:rsid w:val="00132E50"/>
    <w:rsid w:val="00135AD3"/>
    <w:rsid w:val="00135F1C"/>
    <w:rsid w:val="0014355B"/>
    <w:rsid w:val="001475F3"/>
    <w:rsid w:val="00160219"/>
    <w:rsid w:val="001664BD"/>
    <w:rsid w:val="0018435D"/>
    <w:rsid w:val="00187782"/>
    <w:rsid w:val="00191C09"/>
    <w:rsid w:val="0019240E"/>
    <w:rsid w:val="00194B88"/>
    <w:rsid w:val="001A0579"/>
    <w:rsid w:val="001A285D"/>
    <w:rsid w:val="001A756E"/>
    <w:rsid w:val="001A7C4F"/>
    <w:rsid w:val="001B0B9F"/>
    <w:rsid w:val="001C5EC3"/>
    <w:rsid w:val="001E0A4E"/>
    <w:rsid w:val="001E15ED"/>
    <w:rsid w:val="001E2362"/>
    <w:rsid w:val="00206F26"/>
    <w:rsid w:val="002141F8"/>
    <w:rsid w:val="002352ED"/>
    <w:rsid w:val="00242FC0"/>
    <w:rsid w:val="002450A3"/>
    <w:rsid w:val="00245D27"/>
    <w:rsid w:val="00255710"/>
    <w:rsid w:val="0026237E"/>
    <w:rsid w:val="002651C1"/>
    <w:rsid w:val="002824BE"/>
    <w:rsid w:val="002841D0"/>
    <w:rsid w:val="00294079"/>
    <w:rsid w:val="0029469B"/>
    <w:rsid w:val="00297772"/>
    <w:rsid w:val="002A1593"/>
    <w:rsid w:val="002B6B20"/>
    <w:rsid w:val="002D02C0"/>
    <w:rsid w:val="002D6866"/>
    <w:rsid w:val="002F715E"/>
    <w:rsid w:val="00300568"/>
    <w:rsid w:val="00307054"/>
    <w:rsid w:val="0030721F"/>
    <w:rsid w:val="00311F8D"/>
    <w:rsid w:val="003260C8"/>
    <w:rsid w:val="00326A8D"/>
    <w:rsid w:val="00341958"/>
    <w:rsid w:val="003503B0"/>
    <w:rsid w:val="00352880"/>
    <w:rsid w:val="00364484"/>
    <w:rsid w:val="00374CF2"/>
    <w:rsid w:val="0038125F"/>
    <w:rsid w:val="0038720C"/>
    <w:rsid w:val="003872BB"/>
    <w:rsid w:val="00390802"/>
    <w:rsid w:val="0039393A"/>
    <w:rsid w:val="003A529A"/>
    <w:rsid w:val="003B5127"/>
    <w:rsid w:val="003D2DFE"/>
    <w:rsid w:val="003E4DEC"/>
    <w:rsid w:val="003F06B5"/>
    <w:rsid w:val="003F2354"/>
    <w:rsid w:val="003F6C4B"/>
    <w:rsid w:val="00400DA9"/>
    <w:rsid w:val="00403B64"/>
    <w:rsid w:val="004056FA"/>
    <w:rsid w:val="0041196B"/>
    <w:rsid w:val="00411C1F"/>
    <w:rsid w:val="004126FF"/>
    <w:rsid w:val="00422F7F"/>
    <w:rsid w:val="00426D68"/>
    <w:rsid w:val="00444C59"/>
    <w:rsid w:val="00457C9C"/>
    <w:rsid w:val="00470FD1"/>
    <w:rsid w:val="004818BC"/>
    <w:rsid w:val="00495F6A"/>
    <w:rsid w:val="004A21CC"/>
    <w:rsid w:val="004B0118"/>
    <w:rsid w:val="004D19D4"/>
    <w:rsid w:val="004D2357"/>
    <w:rsid w:val="004E71B3"/>
    <w:rsid w:val="004F1C9A"/>
    <w:rsid w:val="004F7C5B"/>
    <w:rsid w:val="0050114A"/>
    <w:rsid w:val="00503DD7"/>
    <w:rsid w:val="00506BD3"/>
    <w:rsid w:val="005113C8"/>
    <w:rsid w:val="005119B0"/>
    <w:rsid w:val="00513DED"/>
    <w:rsid w:val="00521DA2"/>
    <w:rsid w:val="0053087B"/>
    <w:rsid w:val="005413BC"/>
    <w:rsid w:val="0055478D"/>
    <w:rsid w:val="0055657B"/>
    <w:rsid w:val="00556F85"/>
    <w:rsid w:val="005768F6"/>
    <w:rsid w:val="00581DF5"/>
    <w:rsid w:val="005858D6"/>
    <w:rsid w:val="00593A4F"/>
    <w:rsid w:val="005A5089"/>
    <w:rsid w:val="005B1BDC"/>
    <w:rsid w:val="005B3AA5"/>
    <w:rsid w:val="005D26E9"/>
    <w:rsid w:val="005D310E"/>
    <w:rsid w:val="005E7D11"/>
    <w:rsid w:val="005F476B"/>
    <w:rsid w:val="005F502C"/>
    <w:rsid w:val="005F7ECC"/>
    <w:rsid w:val="00601C4D"/>
    <w:rsid w:val="00610A1D"/>
    <w:rsid w:val="00612B6D"/>
    <w:rsid w:val="0061356F"/>
    <w:rsid w:val="00615AC8"/>
    <w:rsid w:val="00622F09"/>
    <w:rsid w:val="0063677C"/>
    <w:rsid w:val="006561E3"/>
    <w:rsid w:val="00656F40"/>
    <w:rsid w:val="00661ACA"/>
    <w:rsid w:val="006657AB"/>
    <w:rsid w:val="00692DCD"/>
    <w:rsid w:val="00692ECF"/>
    <w:rsid w:val="006A6B07"/>
    <w:rsid w:val="006B4832"/>
    <w:rsid w:val="006C045B"/>
    <w:rsid w:val="006C22CF"/>
    <w:rsid w:val="006C3158"/>
    <w:rsid w:val="006C481C"/>
    <w:rsid w:val="006C4E59"/>
    <w:rsid w:val="006E100F"/>
    <w:rsid w:val="006E3473"/>
    <w:rsid w:val="006F0231"/>
    <w:rsid w:val="006F0F8C"/>
    <w:rsid w:val="007015C8"/>
    <w:rsid w:val="00701C93"/>
    <w:rsid w:val="00703C69"/>
    <w:rsid w:val="007041DD"/>
    <w:rsid w:val="0072469A"/>
    <w:rsid w:val="00724CF3"/>
    <w:rsid w:val="00725552"/>
    <w:rsid w:val="00737316"/>
    <w:rsid w:val="007537FB"/>
    <w:rsid w:val="00761B32"/>
    <w:rsid w:val="0079158A"/>
    <w:rsid w:val="007A0F5A"/>
    <w:rsid w:val="007A59F2"/>
    <w:rsid w:val="007B0304"/>
    <w:rsid w:val="007B7A6C"/>
    <w:rsid w:val="007E16A6"/>
    <w:rsid w:val="007E31D1"/>
    <w:rsid w:val="007E4A99"/>
    <w:rsid w:val="007E7EDE"/>
    <w:rsid w:val="007F11B9"/>
    <w:rsid w:val="007F14C8"/>
    <w:rsid w:val="00801B52"/>
    <w:rsid w:val="008067AD"/>
    <w:rsid w:val="00813F24"/>
    <w:rsid w:val="00823496"/>
    <w:rsid w:val="00834FFB"/>
    <w:rsid w:val="00840D53"/>
    <w:rsid w:val="00844E64"/>
    <w:rsid w:val="00854EBB"/>
    <w:rsid w:val="00863B2C"/>
    <w:rsid w:val="0086417D"/>
    <w:rsid w:val="0087454E"/>
    <w:rsid w:val="0087523D"/>
    <w:rsid w:val="00875AB2"/>
    <w:rsid w:val="008774BB"/>
    <w:rsid w:val="00890412"/>
    <w:rsid w:val="00891B59"/>
    <w:rsid w:val="008A54B5"/>
    <w:rsid w:val="008C2341"/>
    <w:rsid w:val="008C279F"/>
    <w:rsid w:val="008C551D"/>
    <w:rsid w:val="008C5A40"/>
    <w:rsid w:val="008E0520"/>
    <w:rsid w:val="008E5DEA"/>
    <w:rsid w:val="008F2162"/>
    <w:rsid w:val="008F296E"/>
    <w:rsid w:val="0090097E"/>
    <w:rsid w:val="0091205E"/>
    <w:rsid w:val="0091610C"/>
    <w:rsid w:val="00926442"/>
    <w:rsid w:val="009275DF"/>
    <w:rsid w:val="00945BA7"/>
    <w:rsid w:val="00947078"/>
    <w:rsid w:val="009562A1"/>
    <w:rsid w:val="00965C25"/>
    <w:rsid w:val="00971197"/>
    <w:rsid w:val="009731AB"/>
    <w:rsid w:val="00980959"/>
    <w:rsid w:val="00986B97"/>
    <w:rsid w:val="00990DC1"/>
    <w:rsid w:val="009A061C"/>
    <w:rsid w:val="009B0E13"/>
    <w:rsid w:val="009B3B5D"/>
    <w:rsid w:val="009C42FA"/>
    <w:rsid w:val="009C54CD"/>
    <w:rsid w:val="009F02FD"/>
    <w:rsid w:val="00A158BE"/>
    <w:rsid w:val="00A35112"/>
    <w:rsid w:val="00A53434"/>
    <w:rsid w:val="00A5748F"/>
    <w:rsid w:val="00A64B36"/>
    <w:rsid w:val="00A66AA3"/>
    <w:rsid w:val="00A80B58"/>
    <w:rsid w:val="00A8573C"/>
    <w:rsid w:val="00AB1858"/>
    <w:rsid w:val="00AC0AAE"/>
    <w:rsid w:val="00AC7476"/>
    <w:rsid w:val="00AD68F0"/>
    <w:rsid w:val="00AE199B"/>
    <w:rsid w:val="00AF3A39"/>
    <w:rsid w:val="00AF6397"/>
    <w:rsid w:val="00B06133"/>
    <w:rsid w:val="00B20384"/>
    <w:rsid w:val="00B624F4"/>
    <w:rsid w:val="00B7167B"/>
    <w:rsid w:val="00B717F0"/>
    <w:rsid w:val="00B77B03"/>
    <w:rsid w:val="00B81392"/>
    <w:rsid w:val="00B96422"/>
    <w:rsid w:val="00B96BBA"/>
    <w:rsid w:val="00B96E92"/>
    <w:rsid w:val="00BA1562"/>
    <w:rsid w:val="00BA5298"/>
    <w:rsid w:val="00BB0FDD"/>
    <w:rsid w:val="00BB68C5"/>
    <w:rsid w:val="00BB7E6C"/>
    <w:rsid w:val="00BE74B4"/>
    <w:rsid w:val="00BE769A"/>
    <w:rsid w:val="00BE7A82"/>
    <w:rsid w:val="00BF321C"/>
    <w:rsid w:val="00BF7755"/>
    <w:rsid w:val="00C12878"/>
    <w:rsid w:val="00C160C3"/>
    <w:rsid w:val="00C24790"/>
    <w:rsid w:val="00C256A4"/>
    <w:rsid w:val="00C25C86"/>
    <w:rsid w:val="00C31F3B"/>
    <w:rsid w:val="00C3304C"/>
    <w:rsid w:val="00C33979"/>
    <w:rsid w:val="00C401D8"/>
    <w:rsid w:val="00C414F4"/>
    <w:rsid w:val="00C573FB"/>
    <w:rsid w:val="00C76237"/>
    <w:rsid w:val="00C770C8"/>
    <w:rsid w:val="00CA4819"/>
    <w:rsid w:val="00CA7BC0"/>
    <w:rsid w:val="00CB13B6"/>
    <w:rsid w:val="00CC0C21"/>
    <w:rsid w:val="00CC4466"/>
    <w:rsid w:val="00CF72E7"/>
    <w:rsid w:val="00D039D0"/>
    <w:rsid w:val="00D04EF3"/>
    <w:rsid w:val="00D07BA8"/>
    <w:rsid w:val="00D33E78"/>
    <w:rsid w:val="00D36627"/>
    <w:rsid w:val="00D460AD"/>
    <w:rsid w:val="00D47900"/>
    <w:rsid w:val="00D63FD1"/>
    <w:rsid w:val="00D71402"/>
    <w:rsid w:val="00D83E43"/>
    <w:rsid w:val="00D93356"/>
    <w:rsid w:val="00DA315A"/>
    <w:rsid w:val="00DA642C"/>
    <w:rsid w:val="00DA6D26"/>
    <w:rsid w:val="00DB2FBC"/>
    <w:rsid w:val="00DC00C4"/>
    <w:rsid w:val="00DD43BC"/>
    <w:rsid w:val="00DD77BC"/>
    <w:rsid w:val="00DE2A22"/>
    <w:rsid w:val="00DE743A"/>
    <w:rsid w:val="00DF0F09"/>
    <w:rsid w:val="00DF2592"/>
    <w:rsid w:val="00DF5502"/>
    <w:rsid w:val="00E00015"/>
    <w:rsid w:val="00E00062"/>
    <w:rsid w:val="00E003AC"/>
    <w:rsid w:val="00E01E51"/>
    <w:rsid w:val="00E1072D"/>
    <w:rsid w:val="00E110E6"/>
    <w:rsid w:val="00E16E7A"/>
    <w:rsid w:val="00E2370B"/>
    <w:rsid w:val="00E23D4F"/>
    <w:rsid w:val="00E32AA1"/>
    <w:rsid w:val="00E42C6E"/>
    <w:rsid w:val="00E5268D"/>
    <w:rsid w:val="00E6012A"/>
    <w:rsid w:val="00E73F2E"/>
    <w:rsid w:val="00E74ADE"/>
    <w:rsid w:val="00E93242"/>
    <w:rsid w:val="00EA0098"/>
    <w:rsid w:val="00EA74FF"/>
    <w:rsid w:val="00EA782A"/>
    <w:rsid w:val="00EB112C"/>
    <w:rsid w:val="00EB187E"/>
    <w:rsid w:val="00EB2633"/>
    <w:rsid w:val="00EB7F11"/>
    <w:rsid w:val="00EC45BE"/>
    <w:rsid w:val="00EC66D2"/>
    <w:rsid w:val="00EF4722"/>
    <w:rsid w:val="00EF6FC6"/>
    <w:rsid w:val="00F231DB"/>
    <w:rsid w:val="00F36B92"/>
    <w:rsid w:val="00F452AC"/>
    <w:rsid w:val="00F51CFC"/>
    <w:rsid w:val="00F533D4"/>
    <w:rsid w:val="00F5673B"/>
    <w:rsid w:val="00F62A22"/>
    <w:rsid w:val="00F663D4"/>
    <w:rsid w:val="00F667AE"/>
    <w:rsid w:val="00F7042F"/>
    <w:rsid w:val="00F756F2"/>
    <w:rsid w:val="00F83604"/>
    <w:rsid w:val="00F91276"/>
    <w:rsid w:val="00F92E4B"/>
    <w:rsid w:val="00F94077"/>
    <w:rsid w:val="00FB3752"/>
    <w:rsid w:val="00FB7BDC"/>
    <w:rsid w:val="00FC5638"/>
    <w:rsid w:val="00FC7CF8"/>
    <w:rsid w:val="00FD23B8"/>
    <w:rsid w:val="00FD62D3"/>
    <w:rsid w:val="00FE1318"/>
    <w:rsid w:val="00FE18B8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C81F9-93BA-471A-B84F-F8BE136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Pis">
    <w:name w:val="header"/>
    <w:basedOn w:val="Normaallaad"/>
    <w:link w:val="PisMrk"/>
    <w:uiPriority w:val="99"/>
    <w:rsid w:val="00DF5502"/>
    <w:pPr>
      <w:tabs>
        <w:tab w:val="center" w:pos="4153"/>
        <w:tab w:val="right" w:pos="8306"/>
      </w:tabs>
      <w:jc w:val="both"/>
    </w:pPr>
  </w:style>
  <w:style w:type="paragraph" w:customStyle="1" w:styleId="Loet">
    <w:name w:val="Loet"/>
    <w:basedOn w:val="Kehatekst"/>
    <w:rsid w:val="00DF5502"/>
    <w:pPr>
      <w:numPr>
        <w:numId w:val="5"/>
      </w:numPr>
      <w:tabs>
        <w:tab w:val="left" w:pos="6521"/>
      </w:tabs>
      <w:spacing w:before="120"/>
    </w:pPr>
    <w:rPr>
      <w:szCs w:val="24"/>
    </w:rPr>
  </w:style>
  <w:style w:type="paragraph" w:customStyle="1" w:styleId="Body">
    <w:name w:val="Body"/>
    <w:basedOn w:val="Kehatekst"/>
    <w:rsid w:val="00DF5502"/>
    <w:pPr>
      <w:numPr>
        <w:ilvl w:val="1"/>
        <w:numId w:val="5"/>
      </w:numPr>
      <w:tabs>
        <w:tab w:val="left" w:pos="6521"/>
      </w:tabs>
    </w:pPr>
    <w:rPr>
      <w:szCs w:val="24"/>
    </w:rPr>
  </w:style>
  <w:style w:type="character" w:styleId="Hperlink">
    <w:name w:val="Hyperlink"/>
    <w:rsid w:val="00191C09"/>
    <w:rPr>
      <w:color w:val="0000FF"/>
      <w:u w:val="single"/>
    </w:rPr>
  </w:style>
  <w:style w:type="paragraph" w:styleId="Normaallaadveeb">
    <w:name w:val="Normal (Web)"/>
    <w:basedOn w:val="Normaallaad"/>
    <w:rsid w:val="006657AB"/>
    <w:pPr>
      <w:spacing w:before="100" w:beforeAutospacing="1" w:after="100" w:afterAutospacing="1"/>
    </w:pPr>
    <w:rPr>
      <w:color w:val="000000"/>
      <w:lang w:eastAsia="et-EE"/>
    </w:rPr>
  </w:style>
  <w:style w:type="paragraph" w:styleId="Jalus">
    <w:name w:val="footer"/>
    <w:basedOn w:val="Normaallaad"/>
    <w:link w:val="JalusMrk"/>
    <w:rsid w:val="00EA782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EA782A"/>
    <w:rPr>
      <w:sz w:val="24"/>
      <w:szCs w:val="24"/>
      <w:lang w:eastAsia="en-US"/>
    </w:rPr>
  </w:style>
  <w:style w:type="character" w:customStyle="1" w:styleId="PisMrk">
    <w:name w:val="Päis Märk"/>
    <w:link w:val="Pis"/>
    <w:uiPriority w:val="99"/>
    <w:rsid w:val="00EA782A"/>
    <w:rPr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rsid w:val="00EA782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EA782A"/>
    <w:rPr>
      <w:rFonts w:ascii="Tahoma" w:hAnsi="Tahoma" w:cs="Tahoma"/>
      <w:sz w:val="16"/>
      <w:szCs w:val="16"/>
      <w:lang w:eastAsia="en-US"/>
    </w:rPr>
  </w:style>
  <w:style w:type="character" w:customStyle="1" w:styleId="KehatekstMrk">
    <w:name w:val="Kehatekst Märk"/>
    <w:basedOn w:val="Liguvaikefont"/>
    <w:link w:val="Kehatekst"/>
    <w:rsid w:val="0039393A"/>
    <w:rPr>
      <w:sz w:val="24"/>
      <w:lang w:eastAsia="en-US"/>
    </w:rPr>
  </w:style>
  <w:style w:type="paragraph" w:customStyle="1" w:styleId="Default">
    <w:name w:val="Default"/>
    <w:rsid w:val="007E7ED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3442</Characters>
  <Application>Microsoft Office Word</Application>
  <DocSecurity>0</DocSecurity>
  <Lines>28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creator>kristo</dc:creator>
  <cp:lastModifiedBy>Birgit Mägi</cp:lastModifiedBy>
  <cp:revision>7</cp:revision>
  <cp:lastPrinted>2017-03-09T13:26:00Z</cp:lastPrinted>
  <dcterms:created xsi:type="dcterms:W3CDTF">2017-03-06T12:58:00Z</dcterms:created>
  <dcterms:modified xsi:type="dcterms:W3CDTF">2017-03-10T08:28:00Z</dcterms:modified>
</cp:coreProperties>
</file>