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Ind w:w="108" w:type="dxa"/>
        <w:tblLayout w:type="fixed"/>
        <w:tblLook w:val="0000" w:firstRow="0" w:lastRow="0" w:firstColumn="0" w:lastColumn="0" w:noHBand="0" w:noVBand="0"/>
      </w:tblPr>
      <w:tblGrid>
        <w:gridCol w:w="4481"/>
        <w:gridCol w:w="4699"/>
      </w:tblGrid>
      <w:tr w:rsidR="00426143" w:rsidRPr="00411E44" w:rsidTr="00B14D33">
        <w:trPr>
          <w:cantSplit/>
        </w:trPr>
        <w:tc>
          <w:tcPr>
            <w:tcW w:w="9180" w:type="dxa"/>
            <w:gridSpan w:val="2"/>
          </w:tcPr>
          <w:p w:rsidR="00426143" w:rsidRPr="00411E44" w:rsidRDefault="00426143" w:rsidP="00A056D1">
            <w:pPr>
              <w:jc w:val="right"/>
              <w:rPr>
                <w:b/>
                <w:bCs/>
              </w:rPr>
            </w:pPr>
            <w:proofErr w:type="spellStart"/>
            <w:r w:rsidRPr="00411E44">
              <w:rPr>
                <w:b/>
                <w:bCs/>
              </w:rPr>
              <w:t>Pkp</w:t>
            </w:r>
            <w:proofErr w:type="spellEnd"/>
            <w:r w:rsidRPr="00411E44">
              <w:rPr>
                <w:b/>
                <w:bCs/>
              </w:rPr>
              <w:t>.</w:t>
            </w:r>
          </w:p>
        </w:tc>
      </w:tr>
      <w:tr w:rsidR="00426143" w:rsidRPr="00411E44" w:rsidTr="00B14D33">
        <w:trPr>
          <w:cantSplit/>
        </w:trPr>
        <w:tc>
          <w:tcPr>
            <w:tcW w:w="9180" w:type="dxa"/>
            <w:gridSpan w:val="2"/>
          </w:tcPr>
          <w:p w:rsidR="00426143" w:rsidRPr="00411E44" w:rsidRDefault="00426143" w:rsidP="00A056D1">
            <w:pPr>
              <w:jc w:val="right"/>
              <w:rPr>
                <w:b/>
                <w:bCs/>
              </w:rPr>
            </w:pPr>
            <w:r w:rsidRPr="00411E44">
              <w:rPr>
                <w:b/>
                <w:bCs/>
              </w:rPr>
              <w:t>Eelnõu nr</w:t>
            </w:r>
          </w:p>
        </w:tc>
      </w:tr>
      <w:tr w:rsidR="00426143" w:rsidRPr="00411E44" w:rsidTr="00B14D33">
        <w:trPr>
          <w:cantSplit/>
        </w:trPr>
        <w:tc>
          <w:tcPr>
            <w:tcW w:w="9180" w:type="dxa"/>
            <w:gridSpan w:val="2"/>
          </w:tcPr>
          <w:p w:rsidR="00426143" w:rsidRPr="00411E44" w:rsidRDefault="00426143" w:rsidP="00A056D1">
            <w:pPr>
              <w:jc w:val="right"/>
              <w:rPr>
                <w:bCs/>
                <w:i/>
              </w:rPr>
            </w:pPr>
            <w:r w:rsidRPr="00411E44">
              <w:rPr>
                <w:bCs/>
                <w:i/>
              </w:rPr>
              <w:t>lihthäälteenamus</w:t>
            </w:r>
          </w:p>
        </w:tc>
      </w:tr>
      <w:tr w:rsidR="00426143" w:rsidRPr="00411E44" w:rsidTr="00426143">
        <w:trPr>
          <w:cantSplit/>
          <w:trHeight w:val="2010"/>
        </w:trPr>
        <w:tc>
          <w:tcPr>
            <w:tcW w:w="9180" w:type="dxa"/>
            <w:gridSpan w:val="2"/>
          </w:tcPr>
          <w:tbl>
            <w:tblPr>
              <w:tblW w:w="9396" w:type="dxa"/>
              <w:tblLayout w:type="fixed"/>
              <w:tblLook w:val="0000" w:firstRow="0" w:lastRow="0" w:firstColumn="0" w:lastColumn="0" w:noHBand="0" w:noVBand="0"/>
            </w:tblPr>
            <w:tblGrid>
              <w:gridCol w:w="6217"/>
              <w:gridCol w:w="3179"/>
            </w:tblGrid>
            <w:tr w:rsidR="00426143" w:rsidRPr="00411E44" w:rsidTr="00CD6F1C">
              <w:trPr>
                <w:cantSplit/>
              </w:trPr>
              <w:tc>
                <w:tcPr>
                  <w:tcW w:w="9396" w:type="dxa"/>
                  <w:gridSpan w:val="2"/>
                </w:tcPr>
                <w:p w:rsidR="00426143" w:rsidRPr="00F81825" w:rsidRDefault="00426143" w:rsidP="00A056D1">
                  <w:pPr>
                    <w:pStyle w:val="Kehatekst"/>
                    <w:tabs>
                      <w:tab w:val="left" w:pos="6521"/>
                    </w:tabs>
                    <w:jc w:val="center"/>
                    <w:rPr>
                      <w:rFonts w:ascii="EE Times New Roman" w:hAnsi="EE Times New Roman" w:cs="EE Times New Roman"/>
                      <w:bCs/>
                      <w:caps/>
                      <w:sz w:val="28"/>
                      <w:szCs w:val="28"/>
                    </w:rPr>
                  </w:pPr>
                  <w:r w:rsidRPr="00F81825">
                    <w:rPr>
                      <w:rFonts w:ascii="EE Times New Roman" w:hAnsi="EE Times New Roman" w:cs="EE Times New Roman"/>
                      <w:bCs/>
                      <w:sz w:val="28"/>
                      <w:szCs w:val="28"/>
                    </w:rPr>
                    <w:t>V</w:t>
                  </w:r>
                  <w:r w:rsidRPr="00F81825">
                    <w:rPr>
                      <w:rFonts w:ascii="EE Times New Roman" w:hAnsi="EE Times New Roman" w:cs="EE Times New Roman"/>
                      <w:bCs/>
                      <w:caps/>
                      <w:sz w:val="28"/>
                      <w:szCs w:val="28"/>
                    </w:rPr>
                    <w:t xml:space="preserve">iimsi Vallavolikogu </w:t>
                  </w:r>
                </w:p>
              </w:tc>
            </w:tr>
            <w:tr w:rsidR="00426143" w:rsidRPr="00411E44" w:rsidTr="00CD6F1C">
              <w:trPr>
                <w:cantSplit/>
              </w:trPr>
              <w:tc>
                <w:tcPr>
                  <w:tcW w:w="9396" w:type="dxa"/>
                  <w:gridSpan w:val="2"/>
                </w:tcPr>
                <w:p w:rsidR="00426143" w:rsidRPr="00411E44" w:rsidRDefault="00426143" w:rsidP="00A056D1">
                  <w:pPr>
                    <w:pStyle w:val="Kehatekst"/>
                    <w:tabs>
                      <w:tab w:val="left" w:pos="6521"/>
                    </w:tabs>
                    <w:jc w:val="center"/>
                    <w:rPr>
                      <w:b/>
                      <w:bCs/>
                    </w:rPr>
                  </w:pPr>
                </w:p>
              </w:tc>
            </w:tr>
            <w:tr w:rsidR="00426143" w:rsidRPr="00411E44" w:rsidTr="00CD6F1C">
              <w:trPr>
                <w:cantSplit/>
              </w:trPr>
              <w:tc>
                <w:tcPr>
                  <w:tcW w:w="9396" w:type="dxa"/>
                  <w:gridSpan w:val="2"/>
                </w:tcPr>
                <w:p w:rsidR="00426143" w:rsidRPr="00411E44" w:rsidRDefault="00426143" w:rsidP="00A056D1">
                  <w:pPr>
                    <w:pStyle w:val="Kehatekst"/>
                    <w:tabs>
                      <w:tab w:val="left" w:pos="6521"/>
                    </w:tabs>
                    <w:jc w:val="center"/>
                    <w:rPr>
                      <w:caps/>
                    </w:rPr>
                  </w:pPr>
                  <w:r w:rsidRPr="00411E44">
                    <w:rPr>
                      <w:b/>
                      <w:bCs/>
                      <w:caps/>
                      <w:sz w:val="28"/>
                      <w:szCs w:val="28"/>
                    </w:rPr>
                    <w:t>OTSUS</w:t>
                  </w:r>
                </w:p>
              </w:tc>
            </w:tr>
            <w:tr w:rsidR="00426143" w:rsidRPr="00411E44" w:rsidTr="00CD6F1C">
              <w:trPr>
                <w:cantSplit/>
              </w:trPr>
              <w:tc>
                <w:tcPr>
                  <w:tcW w:w="9396" w:type="dxa"/>
                  <w:gridSpan w:val="2"/>
                </w:tcPr>
                <w:p w:rsidR="00426143" w:rsidRPr="00411E44" w:rsidRDefault="00426143" w:rsidP="00A056D1">
                  <w:pPr>
                    <w:ind w:right="27"/>
                    <w:jc w:val="center"/>
                  </w:pPr>
                </w:p>
              </w:tc>
            </w:tr>
            <w:tr w:rsidR="00426143" w:rsidRPr="00411E44" w:rsidTr="00CD6F1C">
              <w:trPr>
                <w:cantSplit/>
              </w:trPr>
              <w:tc>
                <w:tcPr>
                  <w:tcW w:w="9396" w:type="dxa"/>
                  <w:gridSpan w:val="2"/>
                </w:tcPr>
                <w:p w:rsidR="00426143" w:rsidRPr="00411E44" w:rsidRDefault="00426143" w:rsidP="00A056D1">
                  <w:pPr>
                    <w:pStyle w:val="Kehatekst"/>
                    <w:tabs>
                      <w:tab w:val="left" w:pos="6521"/>
                    </w:tabs>
                    <w:jc w:val="center"/>
                  </w:pPr>
                </w:p>
              </w:tc>
            </w:tr>
            <w:tr w:rsidR="00426143" w:rsidRPr="00411E44" w:rsidTr="00CD6F1C">
              <w:trPr>
                <w:cantSplit/>
              </w:trPr>
              <w:tc>
                <w:tcPr>
                  <w:tcW w:w="6217" w:type="dxa"/>
                </w:tcPr>
                <w:p w:rsidR="00426143" w:rsidRPr="00411E44" w:rsidRDefault="00426143" w:rsidP="00A056D1">
                  <w:pPr>
                    <w:pStyle w:val="Kehatekst"/>
                    <w:tabs>
                      <w:tab w:val="left" w:pos="6521"/>
                    </w:tabs>
                    <w:jc w:val="left"/>
                  </w:pPr>
                  <w:r w:rsidRPr="00411E44">
                    <w:t>Viimsi</w:t>
                  </w:r>
                </w:p>
              </w:tc>
              <w:tc>
                <w:tcPr>
                  <w:tcW w:w="3179" w:type="dxa"/>
                </w:tcPr>
                <w:p w:rsidR="00426143" w:rsidRPr="00411E44" w:rsidRDefault="007E153D" w:rsidP="00F81825">
                  <w:pPr>
                    <w:pStyle w:val="Kehatekst"/>
                    <w:tabs>
                      <w:tab w:val="left" w:pos="6521"/>
                    </w:tabs>
                    <w:jc w:val="center"/>
                  </w:pPr>
                  <w:r>
                    <w:rPr>
                      <w:rFonts w:ascii="EE Times New Roman" w:hAnsi="EE Times New Roman" w:cs="EE Times New Roman"/>
                    </w:rPr>
                    <w:t>20</w:t>
                  </w:r>
                  <w:r w:rsidR="00426143" w:rsidRPr="00411E44">
                    <w:rPr>
                      <w:rFonts w:ascii="EE Times New Roman" w:hAnsi="EE Times New Roman" w:cs="EE Times New Roman"/>
                    </w:rPr>
                    <w:t>.</w:t>
                  </w:r>
                  <w:r w:rsidR="005F0B25" w:rsidRPr="00411E44">
                    <w:rPr>
                      <w:rFonts w:ascii="EE Times New Roman" w:hAnsi="EE Times New Roman" w:cs="EE Times New Roman"/>
                    </w:rPr>
                    <w:t xml:space="preserve"> </w:t>
                  </w:r>
                  <w:r>
                    <w:rPr>
                      <w:rFonts w:ascii="EE Times New Roman" w:hAnsi="EE Times New Roman" w:cs="EE Times New Roman"/>
                    </w:rPr>
                    <w:t xml:space="preserve">juuni </w:t>
                  </w:r>
                  <w:r w:rsidR="00426143" w:rsidRPr="00411E44">
                    <w:rPr>
                      <w:rFonts w:ascii="EE Times New Roman" w:hAnsi="EE Times New Roman" w:cs="EE Times New Roman"/>
                    </w:rPr>
                    <w:t>201</w:t>
                  </w:r>
                  <w:r w:rsidR="003421DB" w:rsidRPr="00411E44">
                    <w:rPr>
                      <w:rFonts w:ascii="EE Times New Roman" w:hAnsi="EE Times New Roman" w:cs="EE Times New Roman"/>
                    </w:rPr>
                    <w:t>7</w:t>
                  </w:r>
                  <w:r w:rsidR="005F0B25" w:rsidRPr="00411E44">
                    <w:rPr>
                      <w:rFonts w:ascii="EE Times New Roman" w:hAnsi="EE Times New Roman" w:cs="EE Times New Roman"/>
                    </w:rPr>
                    <w:t xml:space="preserve"> nr</w:t>
                  </w:r>
                </w:p>
              </w:tc>
            </w:tr>
          </w:tbl>
          <w:p w:rsidR="00426143" w:rsidRPr="00411E44" w:rsidRDefault="00426143"/>
        </w:tc>
      </w:tr>
      <w:tr w:rsidR="00D35CAB" w:rsidRPr="00411E44" w:rsidTr="00B14D33">
        <w:trPr>
          <w:cantSplit/>
        </w:trPr>
        <w:tc>
          <w:tcPr>
            <w:tcW w:w="9180" w:type="dxa"/>
            <w:gridSpan w:val="2"/>
          </w:tcPr>
          <w:p w:rsidR="00D35CAB" w:rsidRPr="00411E44" w:rsidRDefault="00D35CAB">
            <w:pPr>
              <w:pStyle w:val="Kehatekst"/>
              <w:jc w:val="left"/>
            </w:pPr>
          </w:p>
        </w:tc>
      </w:tr>
      <w:tr w:rsidR="00D35CAB" w:rsidRPr="00411E44" w:rsidTr="00B14D33">
        <w:trPr>
          <w:cantSplit/>
        </w:trPr>
        <w:tc>
          <w:tcPr>
            <w:tcW w:w="9180" w:type="dxa"/>
            <w:gridSpan w:val="2"/>
          </w:tcPr>
          <w:p w:rsidR="00D35CAB" w:rsidRPr="00411E44" w:rsidRDefault="00D35CAB">
            <w:pPr>
              <w:pStyle w:val="Kehatekst"/>
              <w:tabs>
                <w:tab w:val="left" w:pos="6521"/>
              </w:tabs>
              <w:jc w:val="left"/>
            </w:pPr>
          </w:p>
        </w:tc>
      </w:tr>
      <w:tr w:rsidR="00D35CAB" w:rsidRPr="00411E44" w:rsidTr="00B14D33">
        <w:trPr>
          <w:cantSplit/>
        </w:trPr>
        <w:tc>
          <w:tcPr>
            <w:tcW w:w="4481" w:type="dxa"/>
          </w:tcPr>
          <w:p w:rsidR="00D35CAB" w:rsidRPr="00411E44" w:rsidRDefault="007E153D" w:rsidP="00C9100F">
            <w:pPr>
              <w:rPr>
                <w:iCs/>
              </w:rPr>
            </w:pPr>
            <w:r>
              <w:t>Viimsi alevikus</w:t>
            </w:r>
            <w:r w:rsidRPr="008B13EA">
              <w:t xml:space="preserve">, kinnistute </w:t>
            </w:r>
            <w:r>
              <w:t xml:space="preserve">Aiandi tee 30, Pihelga ja sellega piirneva reformimata riigimaa </w:t>
            </w:r>
            <w:r w:rsidRPr="008B13EA">
              <w:t xml:space="preserve">detailplaneeringu </w:t>
            </w:r>
            <w:r>
              <w:t>kehtestamine</w:t>
            </w:r>
          </w:p>
        </w:tc>
        <w:tc>
          <w:tcPr>
            <w:tcW w:w="4699" w:type="dxa"/>
          </w:tcPr>
          <w:p w:rsidR="001E6647" w:rsidRPr="00411E44" w:rsidRDefault="001E6647">
            <w:pPr>
              <w:pStyle w:val="Kehatekst"/>
              <w:tabs>
                <w:tab w:val="left" w:pos="6521"/>
              </w:tabs>
              <w:jc w:val="left"/>
            </w:pPr>
          </w:p>
          <w:p w:rsidR="001E6647" w:rsidRPr="00411E44" w:rsidRDefault="001E6647" w:rsidP="001E6647"/>
          <w:p w:rsidR="00D35CAB" w:rsidRPr="00411E44" w:rsidRDefault="00D35CAB" w:rsidP="001E6647">
            <w:pPr>
              <w:ind w:firstLine="720"/>
            </w:pPr>
          </w:p>
        </w:tc>
      </w:tr>
      <w:tr w:rsidR="00D35CAB" w:rsidRPr="00411E44" w:rsidTr="00B14D33">
        <w:trPr>
          <w:cantSplit/>
        </w:trPr>
        <w:tc>
          <w:tcPr>
            <w:tcW w:w="9180" w:type="dxa"/>
            <w:gridSpan w:val="2"/>
          </w:tcPr>
          <w:p w:rsidR="00D35CAB" w:rsidRPr="00411E44" w:rsidRDefault="00D35CAB">
            <w:pPr>
              <w:pStyle w:val="Kehatekst"/>
              <w:tabs>
                <w:tab w:val="left" w:pos="6521"/>
              </w:tabs>
              <w:jc w:val="left"/>
            </w:pPr>
          </w:p>
        </w:tc>
      </w:tr>
      <w:tr w:rsidR="00D35CAB" w:rsidRPr="00411E44" w:rsidTr="00B14D33">
        <w:trPr>
          <w:cantSplit/>
        </w:trPr>
        <w:tc>
          <w:tcPr>
            <w:tcW w:w="9180" w:type="dxa"/>
            <w:gridSpan w:val="2"/>
          </w:tcPr>
          <w:p w:rsidR="00D35CAB" w:rsidRPr="00411E44" w:rsidRDefault="00D35CAB">
            <w:pPr>
              <w:pStyle w:val="Kehatekst"/>
              <w:tabs>
                <w:tab w:val="left" w:pos="6521"/>
              </w:tabs>
              <w:jc w:val="left"/>
            </w:pPr>
          </w:p>
        </w:tc>
      </w:tr>
      <w:tr w:rsidR="00D35CAB" w:rsidRPr="00411E44" w:rsidTr="00BB213A">
        <w:tc>
          <w:tcPr>
            <w:tcW w:w="9180" w:type="dxa"/>
            <w:gridSpan w:val="2"/>
          </w:tcPr>
          <w:p w:rsidR="007E153D" w:rsidRPr="002F4299" w:rsidRDefault="00155A50" w:rsidP="007E153D">
            <w:pPr>
              <w:pStyle w:val="Kehatekst"/>
              <w:tabs>
                <w:tab w:val="left" w:pos="6521"/>
              </w:tabs>
              <w:spacing w:after="120"/>
              <w:rPr>
                <w:iCs/>
              </w:rPr>
            </w:pPr>
            <w:r>
              <w:t xml:space="preserve">Detailplaneering hõlmab </w:t>
            </w:r>
            <w:r w:rsidRPr="002F4299">
              <w:t>5,4 h</w:t>
            </w:r>
            <w:r>
              <w:t>ektari suurust maa-ala</w:t>
            </w:r>
            <w:r w:rsidR="006E4CC1">
              <w:t>, mis</w:t>
            </w:r>
            <w:r w:rsidR="007E153D" w:rsidRPr="002F4299">
              <w:t xml:space="preserve"> asub Viimsi alevikus Pärnamäe küla piiril ning paikneb Aiandi tee, reformimata riigimaa ja Vehema tee vahelisel alal. Planeeritav maa-ala on reljeefilt ebaühtlane, maapind langeb tugevalt lõuna suunas – kõrguste vahe on keskmiselt 5 meetrit. Valdav osa planeeringualast on hoonestuseta looduslik rohumaa, kinnistul Aiandi tee 30 paikneb Viimsi </w:t>
            </w:r>
            <w:r w:rsidR="007E153D" w:rsidRPr="002F4299">
              <w:rPr>
                <w:iCs/>
                <w:szCs w:val="24"/>
              </w:rPr>
              <w:t>mõisahoonete kompleksi kuulunud küün (ait-kuivati), mis esindab Eesti 19. sajandi mõisaarhitektuuris</w:t>
            </w:r>
            <w:r w:rsidR="006E4CC1">
              <w:rPr>
                <w:iCs/>
                <w:szCs w:val="24"/>
              </w:rPr>
              <w:t xml:space="preserve"> küll </w:t>
            </w:r>
            <w:r w:rsidR="007E153D" w:rsidRPr="002F4299">
              <w:rPr>
                <w:iCs/>
                <w:szCs w:val="24"/>
              </w:rPr>
              <w:t>levinud hoonetüübi (majandushoone) näidet, kuid on unikaalne Viimsis, sest tegu on vallas ühe vähestest peaaegu originaalkujul säilinud vanemat ehituspärandit esindava väärtusliku hoonega. Planeeringuala kontaktvööndisse jäävad i</w:t>
            </w:r>
            <w:r w:rsidR="007E153D" w:rsidRPr="002F4299">
              <w:t>das väikeelamute kvartal, läänes korterelamud ning äri- ja tootmishooned, lõunas asub hoonestuseta looduslik rohumaa (reformimata riigimaa), kuhu muuhulgas on kavas planeerida algkool-lasteaed ja välistaadion.</w:t>
            </w:r>
            <w:r w:rsidR="007E153D" w:rsidRPr="002F4299">
              <w:rPr>
                <w:iCs/>
              </w:rPr>
              <w:t xml:space="preserve"> Juurdepääs planeeringualale toimub Vikerkaare teelt ja Vehema teelt.</w:t>
            </w:r>
          </w:p>
          <w:p w:rsidR="007E153D" w:rsidRPr="002F4299" w:rsidRDefault="007E153D" w:rsidP="007E153D">
            <w:pPr>
              <w:spacing w:before="120"/>
              <w:jc w:val="both"/>
              <w:rPr>
                <w:szCs w:val="20"/>
              </w:rPr>
            </w:pPr>
            <w:r w:rsidRPr="002F4299">
              <w:rPr>
                <w:szCs w:val="20"/>
              </w:rPr>
              <w:t xml:space="preserve">Detailplaneering on </w:t>
            </w:r>
            <w:r w:rsidRPr="002F4299">
              <w:rPr>
                <w:iCs/>
              </w:rPr>
              <w:t xml:space="preserve">koostatud eesmärgiga, luua ligikaudu 5,4 ha suurusele planeeringualale ruumiline terviklahendus, lähtudes Viimsi valla mandriosa üldplaneeringuga määratud maakasutuse juhtotstarvetest, arvestades sealjuures ümbritseva linnaruumi olemasolevaid ja kavandatavaid hoonestusmahtusid. Üldplaneeringu kohased domineerivad juhtotstarbed on väikeelamute maa ja väikeelamute reservmaa, planeeringuala kirdeossa jääb vähesel määral maatulundusmaad. Detailplaneering arvestab </w:t>
            </w:r>
            <w:r w:rsidRPr="002F4299">
              <w:rPr>
                <w:szCs w:val="20"/>
              </w:rPr>
              <w:t xml:space="preserve">üldplaneeringu teemaplaneeringu </w:t>
            </w:r>
            <w:r w:rsidRPr="002F4299">
              <w:rPr>
                <w:i/>
                <w:szCs w:val="20"/>
              </w:rPr>
              <w:t>Viimsi valla üldiste ehitustingimused. Elamuehituse põhimõtted.</w:t>
            </w:r>
            <w:r w:rsidRPr="002F4299">
              <w:rPr>
                <w:szCs w:val="20"/>
              </w:rPr>
              <w:t xml:space="preserve"> tingimusi, s.h planeeritava kaksikelamukrundi vähimat lubatud suurust (1</w:t>
            </w:r>
            <w:r w:rsidR="006E4CC1">
              <w:rPr>
                <w:szCs w:val="20"/>
              </w:rPr>
              <w:t xml:space="preserve"> </w:t>
            </w:r>
            <w:r w:rsidRPr="002F4299">
              <w:rPr>
                <w:szCs w:val="20"/>
              </w:rPr>
              <w:t>800 m²) ja nelja sektsiooniga ridaelamu krundi suurust (2</w:t>
            </w:r>
            <w:r w:rsidR="006E4CC1">
              <w:rPr>
                <w:szCs w:val="20"/>
              </w:rPr>
              <w:t xml:space="preserve"> </w:t>
            </w:r>
            <w:r w:rsidRPr="002F4299">
              <w:rPr>
                <w:szCs w:val="20"/>
              </w:rPr>
              <w:t xml:space="preserve">400 m²), </w:t>
            </w:r>
            <w:r w:rsidR="006E4CC1">
              <w:rPr>
                <w:szCs w:val="20"/>
              </w:rPr>
              <w:t>lisaks</w:t>
            </w:r>
            <w:r w:rsidRPr="002F4299">
              <w:rPr>
                <w:szCs w:val="20"/>
              </w:rPr>
              <w:t xml:space="preserve"> üldplaneeringu teemaplaneeringust </w:t>
            </w:r>
            <w:r w:rsidRPr="002F4299">
              <w:rPr>
                <w:i/>
                <w:szCs w:val="20"/>
              </w:rPr>
              <w:t>Miljööväärtuslikud alad ja rohevõrgustik.</w:t>
            </w:r>
            <w:r w:rsidRPr="002F4299">
              <w:rPr>
                <w:szCs w:val="20"/>
              </w:rPr>
              <w:t xml:space="preserve"> tulenevaid tingimusi – planeeritavale alale jääb osa haljastust nr 24, mis on detailplaneeringuga määratud puude </w:t>
            </w:r>
            <w:proofErr w:type="spellStart"/>
            <w:r w:rsidRPr="002F4299">
              <w:rPr>
                <w:szCs w:val="20"/>
              </w:rPr>
              <w:t>lausistutusega</w:t>
            </w:r>
            <w:proofErr w:type="spellEnd"/>
            <w:r w:rsidRPr="002F4299">
              <w:rPr>
                <w:szCs w:val="20"/>
              </w:rPr>
              <w:t xml:space="preserve"> haljasala maaks. Selline käsitlusviis on oluline</w:t>
            </w:r>
            <w:r w:rsidR="006E4CC1">
              <w:rPr>
                <w:szCs w:val="20"/>
              </w:rPr>
              <w:t>,</w:t>
            </w:r>
            <w:r w:rsidRPr="002F4299">
              <w:rPr>
                <w:szCs w:val="20"/>
              </w:rPr>
              <w:t xml:space="preserve"> arvestades, et planeeringuala paikneb vahetult tiheda liiklusega Aiandi tee ääres ning </w:t>
            </w:r>
            <w:proofErr w:type="spellStart"/>
            <w:r w:rsidRPr="002F4299">
              <w:rPr>
                <w:szCs w:val="20"/>
              </w:rPr>
              <w:t>lausistutusega</w:t>
            </w:r>
            <w:proofErr w:type="spellEnd"/>
            <w:r w:rsidRPr="002F4299">
              <w:rPr>
                <w:szCs w:val="20"/>
              </w:rPr>
              <w:t xml:space="preserve"> puhverriba on leevendavaks meetmeks teest tulenevatele negatiivsetele mõjudele. Ühtlasi võimaldab haljastu planeerimine ka maastikku liigendada.</w:t>
            </w:r>
          </w:p>
          <w:p w:rsidR="007E153D" w:rsidRPr="002F4299" w:rsidRDefault="007E153D" w:rsidP="007E153D">
            <w:pPr>
              <w:spacing w:before="120"/>
              <w:jc w:val="both"/>
              <w:rPr>
                <w:szCs w:val="20"/>
              </w:rPr>
            </w:pPr>
            <w:r w:rsidRPr="002F4299">
              <w:rPr>
                <w:szCs w:val="20"/>
              </w:rPr>
              <w:t xml:space="preserve">Planeeringuala arhitektuurseks dominandiks on kavandataval ärikrundil paiknev rekonstrueeritav mõisaaegne </w:t>
            </w:r>
            <w:proofErr w:type="spellStart"/>
            <w:r w:rsidRPr="002F4299">
              <w:rPr>
                <w:szCs w:val="20"/>
              </w:rPr>
              <w:t>küün-ait</w:t>
            </w:r>
            <w:proofErr w:type="spellEnd"/>
            <w:r w:rsidRPr="002F4299">
              <w:rPr>
                <w:szCs w:val="20"/>
              </w:rPr>
              <w:t xml:space="preserve">, mis saab olema väärikaks aktsendiks kaasaegse arhitektuurikeelega keskkonnas. Kultuurilise järjepidevuse ja rahva ajaloo säilimise aspektist oluline hoone asub hästi vaadeldavas asukohas vahetult Aiandi tee ääres, mida arvestavalt on määratud ka hoone rekonstrueerimistingimused ning uue ärihoone </w:t>
            </w:r>
            <w:r>
              <w:rPr>
                <w:szCs w:val="20"/>
              </w:rPr>
              <w:t xml:space="preserve">võimalik </w:t>
            </w:r>
            <w:r w:rsidRPr="002F4299">
              <w:rPr>
                <w:szCs w:val="20"/>
              </w:rPr>
              <w:t xml:space="preserve">asukoht. </w:t>
            </w:r>
            <w:r w:rsidRPr="002F4299">
              <w:rPr>
                <w:szCs w:val="20"/>
              </w:rPr>
              <w:lastRenderedPageBreak/>
              <w:t xml:space="preserve">Ärikrundi parkimisala on kavandatud Aiandi tee 28 krundi piirile, kuid parkla ja naaberkrundi vahele on visuaalsete ja muude häiringute vähendamiseks määratud kohustuslik </w:t>
            </w:r>
            <w:proofErr w:type="spellStart"/>
            <w:r w:rsidRPr="002F4299">
              <w:rPr>
                <w:szCs w:val="20"/>
              </w:rPr>
              <w:t>lausistutusala</w:t>
            </w:r>
            <w:proofErr w:type="spellEnd"/>
            <w:r w:rsidRPr="002F4299">
              <w:rPr>
                <w:szCs w:val="20"/>
              </w:rPr>
              <w:t>.</w:t>
            </w:r>
          </w:p>
          <w:p w:rsidR="007E153D" w:rsidRPr="002F4299" w:rsidRDefault="007E153D" w:rsidP="007E153D">
            <w:pPr>
              <w:spacing w:before="120"/>
              <w:jc w:val="both"/>
              <w:rPr>
                <w:szCs w:val="20"/>
              </w:rPr>
            </w:pPr>
            <w:r w:rsidRPr="002F4299">
              <w:rPr>
                <w:szCs w:val="20"/>
              </w:rPr>
              <w:t xml:space="preserve">Lisaks Aiandi tee äärsele ärikrundile moodustatakse </w:t>
            </w:r>
            <w:r w:rsidR="00122532">
              <w:rPr>
                <w:szCs w:val="20"/>
              </w:rPr>
              <w:t>elamu</w:t>
            </w:r>
            <w:r w:rsidRPr="002F4299">
              <w:rPr>
                <w:szCs w:val="20"/>
              </w:rPr>
              <w:t>kvartali</w:t>
            </w:r>
            <w:r w:rsidR="00122532">
              <w:rPr>
                <w:szCs w:val="20"/>
              </w:rPr>
              <w:t xml:space="preserve"> </w:t>
            </w:r>
            <w:r w:rsidRPr="002F4299">
              <w:rPr>
                <w:szCs w:val="20"/>
              </w:rPr>
              <w:t xml:space="preserve">siseteede äärde viis ridaelamukrunti 4-sektsiooniga ridaelamute ehitamiseks ja üksteist kaksikelamukrunti, planeeringualale on kavandatud ka kolm haljastut ning jalgtee, et luua </w:t>
            </w:r>
            <w:r w:rsidR="00122532">
              <w:rPr>
                <w:szCs w:val="20"/>
              </w:rPr>
              <w:t>planeeritavate</w:t>
            </w:r>
            <w:r w:rsidRPr="002F4299">
              <w:rPr>
                <w:szCs w:val="20"/>
              </w:rPr>
              <w:t xml:space="preserve"> kooli ja lasteaia</w:t>
            </w:r>
            <w:r>
              <w:rPr>
                <w:szCs w:val="20"/>
              </w:rPr>
              <w:t xml:space="preserve"> suunalt otseühendus </w:t>
            </w:r>
            <w:r w:rsidRPr="002F4299">
              <w:rPr>
                <w:szCs w:val="20"/>
              </w:rPr>
              <w:t>Aiandi tee</w:t>
            </w:r>
            <w:r>
              <w:rPr>
                <w:szCs w:val="20"/>
              </w:rPr>
              <w:t>ga</w:t>
            </w:r>
            <w:r w:rsidRPr="002F4299">
              <w:rPr>
                <w:szCs w:val="20"/>
              </w:rPr>
              <w:t>.</w:t>
            </w:r>
          </w:p>
          <w:p w:rsidR="007E153D" w:rsidRPr="002F4299" w:rsidRDefault="007E153D" w:rsidP="007E153D">
            <w:pPr>
              <w:spacing w:before="120"/>
              <w:jc w:val="both"/>
              <w:rPr>
                <w:szCs w:val="20"/>
              </w:rPr>
            </w:pPr>
            <w:r w:rsidRPr="002F4299">
              <w:rPr>
                <w:iCs/>
              </w:rPr>
              <w:t xml:space="preserve">Detailplaneering algatati Viimsi Vallavolikogu 25.08.2015 otsusega nr 75, kuigi antud juhtumil pole tegu üldplaneeringu põhilahendust muutva detailplaneeringuga, mille menetlus oleks vastavalt </w:t>
            </w:r>
            <w:r w:rsidRPr="002F4299">
              <w:t xml:space="preserve">Viimsi Vallavolikogu 27.04.2016 määruse nr 17 </w:t>
            </w:r>
            <w:r w:rsidRPr="002F4299">
              <w:rPr>
                <w:i/>
              </w:rPr>
              <w:t>Planeerimisseaduse rakendamine Viimsi vallas</w:t>
            </w:r>
            <w:r w:rsidRPr="002F4299">
              <w:t xml:space="preserve"> §-le 3 </w:t>
            </w:r>
            <w:r w:rsidRPr="002F4299">
              <w:rPr>
                <w:iCs/>
              </w:rPr>
              <w:t xml:space="preserve">volikogu ainupädevuses. Kuivõrd üldplaneeringus on planeeritava maa-ala ülekaalukas juhtotstarve väikeelamute maa ja detailplaneeringuga määratakse ühe krundi kasutamise sihtotstarbeks ärimaa, pole siiski </w:t>
            </w:r>
            <w:r w:rsidR="0089127B" w:rsidRPr="002F4299">
              <w:rPr>
                <w:iCs/>
              </w:rPr>
              <w:t xml:space="preserve">tegu </w:t>
            </w:r>
            <w:r w:rsidRPr="002F4299">
              <w:rPr>
                <w:iCs/>
              </w:rPr>
              <w:t xml:space="preserve">liigilt üldisema planeeringu muutmise ettepanekut sisaldava detailplaneeringuga. Nimelt, planeerimisseaduse </w:t>
            </w:r>
            <w:r w:rsidRPr="002F4299">
              <w:rPr>
                <w:szCs w:val="20"/>
              </w:rPr>
              <w:t xml:space="preserve">§ 6 punkti 9 kohaselt on maakasutuse juhtotstarve üldplaneeringuga määratav maa-ala kasutamise valdav otstarve, mis annab kogu määratletud piirkonnale edaspidise maakasutuse põhisuunad. Viimsi valla mandriosa üldplaneeringu kohaselt on piirkonna territooriumi kasutamise valdav otstarve elamumaa, mis antud detailplaneeringuga ka realiseeritakse. Ärimaaks määratakse 2 266 m² suurune krunt, mis moodustab kogu planeeringualast vaid 4 %. </w:t>
            </w:r>
            <w:proofErr w:type="spellStart"/>
            <w:r w:rsidRPr="002F4299">
              <w:rPr>
                <w:szCs w:val="20"/>
              </w:rPr>
              <w:t>PlanS</w:t>
            </w:r>
            <w:proofErr w:type="spellEnd"/>
            <w:r w:rsidRPr="002F4299">
              <w:rPr>
                <w:szCs w:val="20"/>
              </w:rPr>
              <w:t xml:space="preserve"> § 142 lõike 1 kohaselt loetakse kehtestatud üldplaneeringu põhilahenduse detailplaneeringuga muutmiseks üldplaneeringuga määratud maakasutuse juhtotstarbe ulatuslikku muutmist, üldplaneeringuga määratud hoonestuse kõrguspiirangu ületamist, krundi minimaalsuuruse vähendamist, detailplaneeringu kohustuslike alade ja juhtude muutmist või muud kohaliku omavalitsuse hinnangul olulist või ulatuslikku üldplaneeringu muutmist. Antud juhtumil ei kavandata ühtegi eelloetletud ulatuslikku muutust. </w:t>
            </w:r>
            <w:r w:rsidR="0089127B">
              <w:rPr>
                <w:szCs w:val="20"/>
              </w:rPr>
              <w:t>A</w:t>
            </w:r>
            <w:r>
              <w:rPr>
                <w:szCs w:val="20"/>
              </w:rPr>
              <w:t xml:space="preserve">idahoone krundile </w:t>
            </w:r>
            <w:r w:rsidR="0089127B">
              <w:rPr>
                <w:szCs w:val="20"/>
              </w:rPr>
              <w:t xml:space="preserve">ärimaa </w:t>
            </w:r>
            <w:r>
              <w:rPr>
                <w:szCs w:val="20"/>
              </w:rPr>
              <w:t>sihtotstarbe määramisel</w:t>
            </w:r>
            <w:r w:rsidRPr="002F4299">
              <w:rPr>
                <w:szCs w:val="20"/>
              </w:rPr>
              <w:t xml:space="preserve"> </w:t>
            </w:r>
            <w:r w:rsidR="0089127B">
              <w:rPr>
                <w:szCs w:val="20"/>
              </w:rPr>
              <w:t xml:space="preserve">arvestati </w:t>
            </w:r>
            <w:r w:rsidRPr="002F4299">
              <w:rPr>
                <w:szCs w:val="20"/>
              </w:rPr>
              <w:t>asjaolu, et kuivõrd ajalooliselt väärtuslikul küünil (ait-kuivatil) on väga oluline roll kohaliku arhitektuuripärandi säilitamisel, oleks hoone elamuna kasutusse võtmisel see avalikkusele suletud ega saaks ka kindlustada selle algupärast välisilmet, ärihoone kasutusotstarve aga võimaldab avaliku juurdepääsu ning parema kontrollitavuse väärtuslike detailide ja tarindite säilitamisel.</w:t>
            </w:r>
          </w:p>
          <w:p w:rsidR="007E153D" w:rsidRDefault="007E153D" w:rsidP="0089127B">
            <w:pPr>
              <w:pStyle w:val="Loetelu"/>
              <w:numPr>
                <w:ilvl w:val="0"/>
                <w:numId w:val="0"/>
              </w:numPr>
            </w:pPr>
            <w:r w:rsidRPr="002F4299">
              <w:t xml:space="preserve">Detailplaneeringu algatamisest teavitati avalikkust ajalehtedes </w:t>
            </w:r>
            <w:r w:rsidRPr="002F4299">
              <w:rPr>
                <w:i/>
              </w:rPr>
              <w:t>Viimsi Teataja</w:t>
            </w:r>
            <w:r w:rsidRPr="002F4299">
              <w:t xml:space="preserve"> (18.09.2015) ja </w:t>
            </w:r>
            <w:r w:rsidRPr="002F4299">
              <w:rPr>
                <w:i/>
              </w:rPr>
              <w:t>Harju Elu</w:t>
            </w:r>
            <w:r w:rsidRPr="002F4299">
              <w:t xml:space="preserve"> (18.09.2015), puudutatud isikuid informeeriti vallavalitsuse 18.09.2015 kirjaga nr 10-10/5271. Detailplaneeringu eskiislahendust tutvustati avalikkusele vallamajas 8.06.2016, sellest teavitati avalikkust ajalehtedes </w:t>
            </w:r>
            <w:r w:rsidRPr="002F4299">
              <w:rPr>
                <w:i/>
              </w:rPr>
              <w:t>Viimsi Teataja</w:t>
            </w:r>
            <w:r w:rsidRPr="002F4299">
              <w:t xml:space="preserve"> (20.05.2016) ja </w:t>
            </w:r>
            <w:r w:rsidRPr="002F4299">
              <w:rPr>
                <w:i/>
              </w:rPr>
              <w:t>Harju Elu</w:t>
            </w:r>
            <w:r w:rsidRPr="002F4299">
              <w:t xml:space="preserve"> (20.05.2016), puudutatud isikuid teavitati vallavalitsuse 26.05.2016 kirjaga nr 10-10/2604. Detailplaneering koostati koostöös planeeritavate kinnisasjade omanikega ja tehnovõrkude valdajatega ning kooskõlastati Päästeameti Põhja Päästekeskusega, Muinsuskaitseametiga ja Terviseameti </w:t>
            </w:r>
            <w:r>
              <w:t>P</w:t>
            </w:r>
            <w:r w:rsidRPr="002F4299">
              <w:t xml:space="preserve">õhja </w:t>
            </w:r>
            <w:bookmarkStart w:id="0" w:name="_GoBack"/>
            <w:bookmarkEnd w:id="0"/>
            <w:r w:rsidRPr="002F4299">
              <w:t>talitusega.</w:t>
            </w:r>
            <w:r>
              <w:t xml:space="preserve"> Detailplaneeringu k</w:t>
            </w:r>
            <w:r w:rsidR="0089127B">
              <w:t>oostamiseks tehti neli uuringut</w:t>
            </w:r>
            <w:r>
              <w:t xml:space="preserve">: </w:t>
            </w:r>
            <w:r w:rsidRPr="00671C50">
              <w:rPr>
                <w:i/>
              </w:rPr>
              <w:t>Geodeetilise mõõdistused</w:t>
            </w:r>
            <w:r>
              <w:rPr>
                <w:i/>
              </w:rPr>
              <w:t xml:space="preserve"> </w:t>
            </w:r>
            <w:r w:rsidRPr="00671C50">
              <w:t>(AV Geodeesia OÜ)</w:t>
            </w:r>
            <w:r>
              <w:t xml:space="preserve">, </w:t>
            </w:r>
            <w:r>
              <w:rPr>
                <w:i/>
              </w:rPr>
              <w:t>Liiklusmürast tingitud mürataseme hindamine</w:t>
            </w:r>
            <w:r>
              <w:t xml:space="preserve"> (</w:t>
            </w:r>
            <w:proofErr w:type="spellStart"/>
            <w:r>
              <w:t>Akukon</w:t>
            </w:r>
            <w:proofErr w:type="spellEnd"/>
            <w:r>
              <w:t xml:space="preserve"> OY Eesti </w:t>
            </w:r>
            <w:proofErr w:type="spellStart"/>
            <w:r>
              <w:t>diliaal</w:t>
            </w:r>
            <w:proofErr w:type="spellEnd"/>
            <w:r>
              <w:t xml:space="preserve">), </w:t>
            </w:r>
            <w:r>
              <w:rPr>
                <w:i/>
              </w:rPr>
              <w:t>Radoonitaseme määramine ning radooniohtlikkuse hinnang pinnasest</w:t>
            </w:r>
            <w:r>
              <w:t xml:space="preserve"> (Tulelaev OÜ) ja </w:t>
            </w:r>
            <w:r>
              <w:rPr>
                <w:i/>
              </w:rPr>
              <w:t>Keskkonnaseisundi hinnang</w:t>
            </w:r>
            <w:r w:rsidR="0089127B">
              <w:t xml:space="preserve"> (AS </w:t>
            </w:r>
            <w:proofErr w:type="spellStart"/>
            <w:r w:rsidR="0089127B">
              <w:t>Maves</w:t>
            </w:r>
            <w:proofErr w:type="spellEnd"/>
            <w:r w:rsidR="0089127B">
              <w:t>).</w:t>
            </w:r>
          </w:p>
          <w:p w:rsidR="00A30356" w:rsidRDefault="0089127B" w:rsidP="00A30356">
            <w:pPr>
              <w:pStyle w:val="Kehatekst"/>
              <w:tabs>
                <w:tab w:val="left" w:pos="6521"/>
              </w:tabs>
              <w:spacing w:before="120"/>
            </w:pPr>
            <w:r>
              <w:t xml:space="preserve">Detailplaneering võeti vastu </w:t>
            </w:r>
            <w:r w:rsidR="000C7EF6">
              <w:t xml:space="preserve">Viimsi Vallavolikogu </w:t>
            </w:r>
            <w:r w:rsidR="009759A5">
              <w:t>14.02.2017 otsusega nr 1</w:t>
            </w:r>
            <w:r w:rsidR="006D3F11">
              <w:t>2</w:t>
            </w:r>
            <w:r w:rsidR="009759A5">
              <w:t xml:space="preserve"> ja </w:t>
            </w:r>
            <w:r w:rsidR="006D3F11">
              <w:t xml:space="preserve">perioodil  27.03.2017 kuni 26.04.2017 </w:t>
            </w:r>
            <w:r w:rsidR="00A92420">
              <w:t>toimus</w:t>
            </w:r>
            <w:r w:rsidR="006D3F11">
              <w:t xml:space="preserve"> vallamajas </w:t>
            </w:r>
            <w:r w:rsidR="00A92420">
              <w:t xml:space="preserve">detailplaneeringu </w:t>
            </w:r>
            <w:r w:rsidR="006D3F11">
              <w:t xml:space="preserve">avalik väljapanek. Avaliku väljapaneku </w:t>
            </w:r>
            <w:r w:rsidR="00A92420">
              <w:t xml:space="preserve">jooksul </w:t>
            </w:r>
            <w:r w:rsidR="006D3F11">
              <w:t xml:space="preserve">oli detailplaneeringuga võimalik tutvuda ka </w:t>
            </w:r>
            <w:r w:rsidR="00A92420">
              <w:t xml:space="preserve">valla </w:t>
            </w:r>
            <w:r w:rsidR="006D3F11">
              <w:t xml:space="preserve">veebilehel </w:t>
            </w:r>
            <w:hyperlink r:id="rId5" w:history="1">
              <w:r w:rsidR="006D3F11" w:rsidRPr="005A2948">
                <w:rPr>
                  <w:rStyle w:val="Hperlink"/>
                </w:rPr>
                <w:t>http://www.viimsivald.ee/planeerimine-2/</w:t>
              </w:r>
            </w:hyperlink>
            <w:r w:rsidR="006D3F11">
              <w:t xml:space="preserve">. </w:t>
            </w:r>
            <w:r w:rsidR="00A92420">
              <w:t xml:space="preserve">Avalikust väljapanekust </w:t>
            </w:r>
            <w:r w:rsidR="009759A5">
              <w:t>teavitati avalikkust ajalehtede</w:t>
            </w:r>
            <w:r w:rsidR="00A92420">
              <w:t>s</w:t>
            </w:r>
            <w:r w:rsidR="009759A5">
              <w:t xml:space="preserve"> </w:t>
            </w:r>
            <w:r w:rsidR="009759A5" w:rsidRPr="001E4BF2">
              <w:rPr>
                <w:i/>
              </w:rPr>
              <w:t>Viimsi Teataja</w:t>
            </w:r>
            <w:r w:rsidR="009759A5" w:rsidRPr="00411E44">
              <w:t xml:space="preserve"> (</w:t>
            </w:r>
            <w:r w:rsidR="00A92420">
              <w:t>10</w:t>
            </w:r>
            <w:r w:rsidR="009759A5" w:rsidRPr="00411E44">
              <w:t>.0</w:t>
            </w:r>
            <w:r w:rsidR="00A92420">
              <w:t>3</w:t>
            </w:r>
            <w:r w:rsidR="009759A5" w:rsidRPr="00411E44">
              <w:t>.201</w:t>
            </w:r>
            <w:r w:rsidR="009759A5">
              <w:t>7</w:t>
            </w:r>
            <w:r w:rsidR="009759A5" w:rsidRPr="00411E44">
              <w:t xml:space="preserve">) ja </w:t>
            </w:r>
            <w:r w:rsidR="009759A5" w:rsidRPr="001E4BF2">
              <w:rPr>
                <w:i/>
              </w:rPr>
              <w:t>Harju Elu</w:t>
            </w:r>
            <w:r w:rsidR="009759A5" w:rsidRPr="00411E44">
              <w:t xml:space="preserve"> (</w:t>
            </w:r>
            <w:r w:rsidR="009759A5">
              <w:t>1</w:t>
            </w:r>
            <w:r w:rsidR="00A92420">
              <w:t>0</w:t>
            </w:r>
            <w:r w:rsidR="009759A5" w:rsidRPr="00411E44">
              <w:t>.0</w:t>
            </w:r>
            <w:r w:rsidR="00A92420">
              <w:t>3</w:t>
            </w:r>
            <w:r w:rsidR="009759A5" w:rsidRPr="00411E44">
              <w:t>.201</w:t>
            </w:r>
            <w:r w:rsidR="009759A5">
              <w:t>7</w:t>
            </w:r>
            <w:r w:rsidR="009759A5" w:rsidRPr="00411E44">
              <w:t xml:space="preserve">), puudutatud isikutele edastati </w:t>
            </w:r>
            <w:r w:rsidR="009759A5">
              <w:t>teave</w:t>
            </w:r>
            <w:r w:rsidR="009759A5" w:rsidRPr="00411E44">
              <w:t xml:space="preserve"> vallavalitsuse </w:t>
            </w:r>
            <w:r w:rsidR="009759A5">
              <w:t>6</w:t>
            </w:r>
            <w:r w:rsidR="009759A5" w:rsidRPr="00411E44">
              <w:t>.0</w:t>
            </w:r>
            <w:r w:rsidR="00A92420">
              <w:t>3</w:t>
            </w:r>
            <w:r w:rsidR="009759A5" w:rsidRPr="00411E44">
              <w:t>.201</w:t>
            </w:r>
            <w:r w:rsidR="009759A5">
              <w:t>7</w:t>
            </w:r>
            <w:r w:rsidR="009759A5" w:rsidRPr="00411E44">
              <w:t xml:space="preserve"> kirjaga nr 10-10/</w:t>
            </w:r>
            <w:r w:rsidR="00A92420">
              <w:t>1127</w:t>
            </w:r>
            <w:r w:rsidR="009759A5" w:rsidRPr="00411E44">
              <w:t>.</w:t>
            </w:r>
            <w:r w:rsidR="009759A5">
              <w:t xml:space="preserve"> </w:t>
            </w:r>
            <w:r w:rsidR="008A4E7B">
              <w:t>A</w:t>
            </w:r>
            <w:r w:rsidR="009759A5">
              <w:t>valikul väljapanekul ei esitatud detailplaneeringu kohta kirjalikke arvamusi</w:t>
            </w:r>
            <w:r w:rsidR="00A92420">
              <w:t xml:space="preserve">. Kuivõrd tegu on detailplaneeringuga, mis on koostatud üldplaneeringuga kooskõlas ja detailplaneeringu kohta ei esitatud ühtegi </w:t>
            </w:r>
            <w:r w:rsidR="00A92420">
              <w:lastRenderedPageBreak/>
              <w:t xml:space="preserve">arvamust, puudub </w:t>
            </w:r>
            <w:proofErr w:type="spellStart"/>
            <w:r w:rsidR="00A92420">
              <w:t>PlanS</w:t>
            </w:r>
            <w:proofErr w:type="spellEnd"/>
            <w:r w:rsidR="00A92420">
              <w:t xml:space="preserve"> § 138 lõike 2 kohaselt vajadus esitada detailplaneering m</w:t>
            </w:r>
            <w:r w:rsidR="009759A5">
              <w:t>aavanem</w:t>
            </w:r>
            <w:r w:rsidR="00A92420">
              <w:t xml:space="preserve">ale heakskiitmiseks. </w:t>
            </w:r>
            <w:r w:rsidR="008A4E7B" w:rsidRPr="00411E44">
              <w:t>Kõik menetlusdokumendid, s.h kooskõlastused on lisatud detailplaneeringu köitesse</w:t>
            </w:r>
            <w:r w:rsidR="008A4E7B">
              <w:t>, mis on huvilistele kättesaadav valla arhiivis (Nelgi tee 1, Viimsi alevik)</w:t>
            </w:r>
            <w:r w:rsidR="008A4E7B" w:rsidRPr="00411E44">
              <w:t>.</w:t>
            </w:r>
          </w:p>
          <w:p w:rsidR="006C59C0" w:rsidRPr="00411E44" w:rsidRDefault="00056AE7" w:rsidP="00C9100F">
            <w:pPr>
              <w:pStyle w:val="Kehatekst"/>
              <w:tabs>
                <w:tab w:val="left" w:pos="6521"/>
              </w:tabs>
            </w:pPr>
            <w:r w:rsidRPr="009E3116">
              <w:t>Eeltoodu alusel ja juhindudes kohaliku omavalitsuse korralduse seaduse § 6 lõikest 1, planeerimisseaduse § </w:t>
            </w:r>
            <w:r w:rsidR="006B7B34">
              <w:t>138</w:t>
            </w:r>
            <w:r w:rsidRPr="009E3116">
              <w:t xml:space="preserve"> lõikest </w:t>
            </w:r>
            <w:r w:rsidR="00A92420">
              <w:t>2</w:t>
            </w:r>
            <w:r w:rsidR="00BC70F5">
              <w:t xml:space="preserve"> ja 139 lõikest 1 </w:t>
            </w:r>
            <w:r w:rsidR="006B7B34">
              <w:t>ja</w:t>
            </w:r>
            <w:r w:rsidRPr="00871C97">
              <w:t xml:space="preserve"> arvestades, et detailplaneering vastab seadustele ning muudele õigusaktidele </w:t>
            </w:r>
            <w:r w:rsidR="00BC70F5">
              <w:t xml:space="preserve">ning </w:t>
            </w:r>
            <w:r w:rsidRPr="00871C97">
              <w:t>valla ruumilise arengu eesmärkidele</w:t>
            </w:r>
            <w:r w:rsidR="00971F30" w:rsidRPr="00411E44">
              <w:t>, samuti</w:t>
            </w:r>
            <w:r w:rsidR="004E6092" w:rsidRPr="00411E44">
              <w:t xml:space="preserve"> </w:t>
            </w:r>
            <w:r w:rsidR="007A7BC6" w:rsidRPr="00411E44">
              <w:t xml:space="preserve">lähtudes </w:t>
            </w:r>
            <w:r w:rsidR="006C59C0" w:rsidRPr="00411E44">
              <w:t>Vallavolikogu maa- ja planeerimiskomisjoni</w:t>
            </w:r>
            <w:r w:rsidR="007A7BC6" w:rsidRPr="00411E44">
              <w:t xml:space="preserve"> </w:t>
            </w:r>
            <w:r w:rsidR="007F10B7" w:rsidRPr="00411E44">
              <w:t>ning</w:t>
            </w:r>
            <w:r w:rsidR="00EF1532" w:rsidRPr="00411E44">
              <w:t xml:space="preserve"> </w:t>
            </w:r>
            <w:r w:rsidR="00971F30" w:rsidRPr="00411E44">
              <w:t>k</w:t>
            </w:r>
            <w:r w:rsidR="007A7BC6" w:rsidRPr="00411E44">
              <w:t>eskkonna</w:t>
            </w:r>
            <w:r w:rsidR="00FC44DE" w:rsidRPr="00411E44">
              <w:t>- ja heakorra</w:t>
            </w:r>
            <w:r w:rsidR="007A7BC6" w:rsidRPr="00411E44">
              <w:t>komisjoni</w:t>
            </w:r>
            <w:r w:rsidR="006C59C0" w:rsidRPr="00411E44">
              <w:t xml:space="preserve"> seisukoht</w:t>
            </w:r>
            <w:r w:rsidR="007A7BC6" w:rsidRPr="00411E44">
              <w:t>adest</w:t>
            </w:r>
            <w:r w:rsidR="006C59C0" w:rsidRPr="00411E44">
              <w:t>, Viimsi Vallavolikogu</w:t>
            </w:r>
          </w:p>
          <w:p w:rsidR="007D7309" w:rsidRPr="00411E44" w:rsidRDefault="007D7309" w:rsidP="00C9100F">
            <w:pPr>
              <w:pStyle w:val="Kehatekst"/>
              <w:tabs>
                <w:tab w:val="left" w:pos="6521"/>
              </w:tabs>
            </w:pPr>
          </w:p>
          <w:p w:rsidR="007D7309" w:rsidRPr="00411E44" w:rsidRDefault="007D7309" w:rsidP="00C9100F">
            <w:pPr>
              <w:pStyle w:val="Kehatekst"/>
              <w:tabs>
                <w:tab w:val="left" w:pos="6521"/>
              </w:tabs>
            </w:pPr>
            <w:r w:rsidRPr="00411E44">
              <w:t>o t s u s t a b:</w:t>
            </w:r>
          </w:p>
        </w:tc>
      </w:tr>
      <w:tr w:rsidR="00D35CAB" w:rsidRPr="00411E44" w:rsidTr="00B14D33">
        <w:trPr>
          <w:cantSplit/>
        </w:trPr>
        <w:tc>
          <w:tcPr>
            <w:tcW w:w="9180" w:type="dxa"/>
            <w:gridSpan w:val="2"/>
          </w:tcPr>
          <w:p w:rsidR="00D35CAB" w:rsidRPr="00411E44" w:rsidRDefault="00D35CAB">
            <w:pPr>
              <w:pStyle w:val="Kehatekst"/>
              <w:tabs>
                <w:tab w:val="left" w:pos="6521"/>
              </w:tabs>
              <w:jc w:val="left"/>
            </w:pPr>
          </w:p>
        </w:tc>
      </w:tr>
    </w:tbl>
    <w:p w:rsidR="000C76C2" w:rsidRPr="000C76C2" w:rsidRDefault="00056AE7" w:rsidP="006A0FA7">
      <w:pPr>
        <w:pStyle w:val="Loetelu"/>
        <w:numPr>
          <w:ilvl w:val="0"/>
          <w:numId w:val="2"/>
        </w:numPr>
        <w:tabs>
          <w:tab w:val="clear" w:pos="720"/>
        </w:tabs>
        <w:ind w:left="360"/>
      </w:pPr>
      <w:r>
        <w:t>Kehtestada</w:t>
      </w:r>
      <w:r w:rsidR="00D35CAB" w:rsidRPr="00411E44">
        <w:t xml:space="preserve"> </w:t>
      </w:r>
      <w:r w:rsidR="007E153D" w:rsidRPr="008B13EA">
        <w:t>Viimsi vallas</w:t>
      </w:r>
      <w:r w:rsidR="007E153D">
        <w:t>,</w:t>
      </w:r>
      <w:r w:rsidR="007E153D" w:rsidRPr="00E1791C">
        <w:t xml:space="preserve"> </w:t>
      </w:r>
      <w:r w:rsidR="007E153D">
        <w:t>Viimsi alevikus</w:t>
      </w:r>
      <w:r w:rsidR="007E153D" w:rsidRPr="008B13EA">
        <w:t xml:space="preserve">, kinnistute </w:t>
      </w:r>
      <w:r w:rsidR="007E153D">
        <w:t xml:space="preserve">Aiandi tee 30, Pihelga ja sellega piirneva reformimata riigimaa </w:t>
      </w:r>
      <w:r w:rsidR="007E153D" w:rsidRPr="008B13EA">
        <w:t>detailplaneering (</w:t>
      </w:r>
      <w:r w:rsidR="007E153D">
        <w:t xml:space="preserve">Ehitusõigus </w:t>
      </w:r>
      <w:r w:rsidR="007E153D" w:rsidRPr="008B13EA">
        <w:t xml:space="preserve">OÜ </w:t>
      </w:r>
      <w:r w:rsidR="007E153D">
        <w:t xml:space="preserve">töö </w:t>
      </w:r>
      <w:r w:rsidR="007E153D" w:rsidRPr="008B13EA">
        <w:t>nr</w:t>
      </w:r>
      <w:r w:rsidR="007E153D">
        <w:t xml:space="preserve"> 14012</w:t>
      </w:r>
      <w:r w:rsidR="007E153D" w:rsidRPr="00CA1A74">
        <w:rPr>
          <w:iCs/>
        </w:rPr>
        <w:t>), millega tehakse ettepanek</w:t>
      </w:r>
      <w:r w:rsidR="007E153D">
        <w:rPr>
          <w:iCs/>
        </w:rPr>
        <w:t xml:space="preserve"> maa-ala kruntimiseks ja krundi ehitusõiguse määramiseks. Detailplaneeringuga moodustatakse viis </w:t>
      </w:r>
      <w:r w:rsidR="007E153D" w:rsidRPr="002F4299">
        <w:t>ridaelamukrunti</w:t>
      </w:r>
      <w:r w:rsidR="007E153D">
        <w:t xml:space="preserve"> (suurustega vahemikus 2 400 m² kuni 2 845 m²)</w:t>
      </w:r>
      <w:r w:rsidR="007E153D" w:rsidRPr="002F4299">
        <w:t xml:space="preserve"> 4-sektsiooniga </w:t>
      </w:r>
      <w:r w:rsidR="007E153D">
        <w:t xml:space="preserve">kahekorruseliste (H = 8,5 meetrit) </w:t>
      </w:r>
      <w:r w:rsidR="007E153D" w:rsidRPr="002F4299">
        <w:t>ridaelamute ehitamiseks</w:t>
      </w:r>
      <w:r w:rsidR="007E153D">
        <w:t xml:space="preserve"> (suurim lubatud ehitusalune pindala on vahemikus 480 m² kuni 570</w:t>
      </w:r>
      <w:r w:rsidR="007E153D" w:rsidRPr="002F4299">
        <w:t xml:space="preserve"> </w:t>
      </w:r>
      <w:r w:rsidR="007E153D">
        <w:t xml:space="preserve">m²) </w:t>
      </w:r>
      <w:r w:rsidR="007E153D" w:rsidRPr="002F4299">
        <w:t>ja üksteist kaksikelamukrunti</w:t>
      </w:r>
      <w:r w:rsidR="007E153D">
        <w:rPr>
          <w:iCs/>
        </w:rPr>
        <w:t xml:space="preserve"> </w:t>
      </w:r>
      <w:r w:rsidR="007E153D">
        <w:t>(suurustega vahemikus 1 800 m² kuni 1 895 m²)</w:t>
      </w:r>
      <w:r w:rsidR="007E153D" w:rsidRPr="002F4299">
        <w:t xml:space="preserve"> </w:t>
      </w:r>
      <w:r w:rsidR="007E153D">
        <w:t>kahekorruseliste kaksikelamute (H = 8,5 meetrit)</w:t>
      </w:r>
      <w:r w:rsidR="007E153D">
        <w:rPr>
          <w:iCs/>
        </w:rPr>
        <w:t xml:space="preserve"> ehitamiseks (</w:t>
      </w:r>
      <w:r w:rsidR="007E153D">
        <w:t>suurim</w:t>
      </w:r>
      <w:r w:rsidR="00F54163">
        <w:t xml:space="preserve"> lubatud ehitusalune pindala on </w:t>
      </w:r>
      <w:r w:rsidR="007E153D">
        <w:t xml:space="preserve">450 m²). Kaksikelamukrundile on lubatud lisaks põhihoonele ehitada ka üks abihoone, suurima lubatud kõrgusega 5,0 meetrit. Lisaks moodustatakse planeeringualale üks 2 266 m² suurune </w:t>
      </w:r>
      <w:proofErr w:type="spellStart"/>
      <w:r w:rsidR="007E153D">
        <w:t>ärimaa</w:t>
      </w:r>
      <w:proofErr w:type="spellEnd"/>
      <w:r w:rsidR="007E153D">
        <w:t xml:space="preserve"> sihtotstarbega krunt, mille ehitusõigus näeb ette olemasoleva ajaloolise hoone säilitamise ja selle rekonstrueerimistingimused ning võimaldab lisaks ühe uue eraldiseisva ärihoone ehitamise. Ärikrundi suurim lubatud ehitusalune pindala on 500 m², millest ligikaudu 300 m² on aidahoone alune pind, ärihoonete suurim lubatud kõrgus on 6,9 meetrit (aidahoone säilitab olemasoleva kõrguse), uue ärihoone katusekalde 0° – 10° korral aga 6,0 meetrit. Lisaks moodustatakse detailplaneeringuga kolm haljasala maa krunti, kaks kergliiklusmaa krunti ning neli tee ja tänavamaa krunti</w:t>
      </w:r>
      <w:r w:rsidR="00EF4F96" w:rsidRPr="00411E44">
        <w:rPr>
          <w:iCs/>
          <w:szCs w:val="24"/>
        </w:rPr>
        <w:t>.</w:t>
      </w:r>
    </w:p>
    <w:p w:rsidR="000805A0" w:rsidRPr="00411E44" w:rsidRDefault="007E153D" w:rsidP="006A0FA7">
      <w:pPr>
        <w:pStyle w:val="Loetelu"/>
        <w:numPr>
          <w:ilvl w:val="0"/>
          <w:numId w:val="2"/>
        </w:numPr>
        <w:tabs>
          <w:tab w:val="clear" w:pos="720"/>
        </w:tabs>
        <w:ind w:left="360"/>
      </w:pPr>
      <w:r>
        <w:t>Vastavalt Tallinna notari Lee Mõttuse büroos 2.07.2015 sõlmitud lepingule nr 2806</w:t>
      </w:r>
      <w:r w:rsidRPr="00756B23">
        <w:t xml:space="preserve"> </w:t>
      </w:r>
      <w:r>
        <w:t>kohustub arendaja</w:t>
      </w:r>
      <w:r w:rsidRPr="00624AB0">
        <w:t xml:space="preserve"> </w:t>
      </w:r>
      <w:r>
        <w:t>omal kulul ehitama planeeringukohased avalikuks kasutamiseks ettenähtud teed, s.h sõidutee ja kergliiklustee, tänavavalgustuse, sadevee kanalisatsiooni ja haljastuse ja andma teemaa kinnistud koos nendel asuvate ehitiste ja rajatistega tasuta valla omandisse, hiljemalt 5 (viie) aasta jooksul detailplaneeringu kehtestamisest arvates</w:t>
      </w:r>
      <w:r w:rsidR="00411E44" w:rsidRPr="00411E44">
        <w:t>.</w:t>
      </w:r>
    </w:p>
    <w:p w:rsidR="00D35CAB" w:rsidRPr="00411E44" w:rsidRDefault="009F06BD">
      <w:pPr>
        <w:pStyle w:val="Loetelu"/>
        <w:numPr>
          <w:ilvl w:val="0"/>
          <w:numId w:val="2"/>
        </w:numPr>
        <w:tabs>
          <w:tab w:val="clear" w:pos="720"/>
        </w:tabs>
        <w:ind w:left="360"/>
      </w:pPr>
      <w:r w:rsidRPr="00411E44">
        <w:t>Otsus</w:t>
      </w:r>
      <w:r w:rsidR="00D35CAB" w:rsidRPr="00411E44">
        <w:t xml:space="preserve"> jõustub teatavakstegemisest.</w:t>
      </w:r>
    </w:p>
    <w:p w:rsidR="00D35CAB" w:rsidRPr="00411E44" w:rsidRDefault="009F06BD">
      <w:pPr>
        <w:pStyle w:val="Loetelu"/>
        <w:numPr>
          <w:ilvl w:val="0"/>
          <w:numId w:val="2"/>
        </w:numPr>
        <w:tabs>
          <w:tab w:val="clear" w:pos="720"/>
        </w:tabs>
        <w:ind w:left="360"/>
        <w:rPr>
          <w:spacing w:val="-4"/>
        </w:rPr>
      </w:pPr>
      <w:r w:rsidRPr="00411E44">
        <w:rPr>
          <w:spacing w:val="-4"/>
        </w:rPr>
        <w:t>Otsus</w:t>
      </w:r>
      <w:r w:rsidR="0052087B" w:rsidRPr="00411E44">
        <w:rPr>
          <w:spacing w:val="-4"/>
        </w:rPr>
        <w:t>t</w:t>
      </w:r>
      <w:r w:rsidR="00D35CAB" w:rsidRPr="00411E44">
        <w:rPr>
          <w:spacing w:val="-4"/>
        </w:rPr>
        <w:t xml:space="preserve"> on võimalik vaidlustada Tallinna Halduskohtus (Pärnu mnt 7, Tallinn) või esitada vaie Viimsi Vallav</w:t>
      </w:r>
      <w:r w:rsidRPr="00411E44">
        <w:rPr>
          <w:spacing w:val="-4"/>
        </w:rPr>
        <w:t>olikogule</w:t>
      </w:r>
      <w:r w:rsidR="00D35CAB" w:rsidRPr="00411E44">
        <w:rPr>
          <w:spacing w:val="-4"/>
        </w:rPr>
        <w:t xml:space="preserve"> 30 päeva jooksul arvates korralduse teatavakstegemisest.</w:t>
      </w:r>
    </w:p>
    <w:tbl>
      <w:tblPr>
        <w:tblW w:w="9214" w:type="dxa"/>
        <w:tblInd w:w="108" w:type="dxa"/>
        <w:tblLayout w:type="fixed"/>
        <w:tblLook w:val="0000" w:firstRow="0" w:lastRow="0" w:firstColumn="0" w:lastColumn="0" w:noHBand="0" w:noVBand="0"/>
      </w:tblPr>
      <w:tblGrid>
        <w:gridCol w:w="9214"/>
      </w:tblGrid>
      <w:tr w:rsidR="006C59C0" w:rsidRPr="00411E44" w:rsidTr="00A056D1">
        <w:trPr>
          <w:cantSplit/>
        </w:trPr>
        <w:tc>
          <w:tcPr>
            <w:tcW w:w="9214" w:type="dxa"/>
          </w:tcPr>
          <w:p w:rsidR="006C59C0" w:rsidRPr="00411E44" w:rsidRDefault="006C59C0" w:rsidP="006C59C0">
            <w:pPr>
              <w:pStyle w:val="Kehatekst"/>
              <w:tabs>
                <w:tab w:val="left" w:pos="6521"/>
              </w:tabs>
              <w:jc w:val="left"/>
            </w:pPr>
          </w:p>
        </w:tc>
      </w:tr>
      <w:tr w:rsidR="00C9100F" w:rsidRPr="00411E44" w:rsidTr="00A056D1">
        <w:trPr>
          <w:cantSplit/>
        </w:trPr>
        <w:tc>
          <w:tcPr>
            <w:tcW w:w="9214" w:type="dxa"/>
          </w:tcPr>
          <w:p w:rsidR="00C9100F" w:rsidRPr="00411E44" w:rsidRDefault="00C9100F" w:rsidP="006C59C0">
            <w:pPr>
              <w:pStyle w:val="Kehatekst"/>
              <w:tabs>
                <w:tab w:val="left" w:pos="6521"/>
              </w:tabs>
              <w:jc w:val="left"/>
            </w:pPr>
          </w:p>
        </w:tc>
      </w:tr>
      <w:tr w:rsidR="00C9100F" w:rsidRPr="00411E44" w:rsidTr="00A056D1">
        <w:trPr>
          <w:cantSplit/>
        </w:trPr>
        <w:tc>
          <w:tcPr>
            <w:tcW w:w="9214" w:type="dxa"/>
          </w:tcPr>
          <w:p w:rsidR="00C9100F" w:rsidRPr="00411E44" w:rsidRDefault="00C9100F" w:rsidP="006C59C0">
            <w:pPr>
              <w:pStyle w:val="Kehatekst"/>
              <w:tabs>
                <w:tab w:val="left" w:pos="6521"/>
              </w:tabs>
              <w:jc w:val="left"/>
            </w:pPr>
          </w:p>
        </w:tc>
      </w:tr>
      <w:tr w:rsidR="006C59C0" w:rsidRPr="00411E44" w:rsidTr="00A056D1">
        <w:trPr>
          <w:cantSplit/>
        </w:trPr>
        <w:tc>
          <w:tcPr>
            <w:tcW w:w="9214" w:type="dxa"/>
          </w:tcPr>
          <w:p w:rsidR="006C59C0" w:rsidRPr="00411E44" w:rsidRDefault="006C59C0" w:rsidP="006C59C0">
            <w:pPr>
              <w:pStyle w:val="Kehatekst"/>
              <w:tabs>
                <w:tab w:val="left" w:pos="6521"/>
              </w:tabs>
              <w:jc w:val="left"/>
            </w:pPr>
          </w:p>
        </w:tc>
      </w:tr>
      <w:tr w:rsidR="006C59C0" w:rsidRPr="00411E44" w:rsidTr="00A056D1">
        <w:trPr>
          <w:cantSplit/>
        </w:trPr>
        <w:tc>
          <w:tcPr>
            <w:tcW w:w="9214" w:type="dxa"/>
          </w:tcPr>
          <w:p w:rsidR="006C59C0" w:rsidRPr="00411E44" w:rsidRDefault="006C59C0" w:rsidP="006C59C0">
            <w:pPr>
              <w:pStyle w:val="Kehatekst"/>
              <w:tabs>
                <w:tab w:val="left" w:pos="6521"/>
              </w:tabs>
              <w:jc w:val="left"/>
            </w:pPr>
          </w:p>
        </w:tc>
      </w:tr>
      <w:tr w:rsidR="006C59C0" w:rsidRPr="00411E44" w:rsidTr="00A056D1">
        <w:trPr>
          <w:cantSplit/>
        </w:trPr>
        <w:tc>
          <w:tcPr>
            <w:tcW w:w="9214" w:type="dxa"/>
          </w:tcPr>
          <w:p w:rsidR="006C59C0" w:rsidRPr="00411E44" w:rsidRDefault="006C59C0" w:rsidP="006C59C0">
            <w:pPr>
              <w:pStyle w:val="Kehatekst"/>
              <w:tabs>
                <w:tab w:val="left" w:pos="6521"/>
              </w:tabs>
              <w:jc w:val="left"/>
            </w:pPr>
          </w:p>
        </w:tc>
      </w:tr>
      <w:tr w:rsidR="006C59C0" w:rsidRPr="00411E44" w:rsidTr="00A056D1">
        <w:trPr>
          <w:cantSplit/>
        </w:trPr>
        <w:tc>
          <w:tcPr>
            <w:tcW w:w="9214" w:type="dxa"/>
          </w:tcPr>
          <w:p w:rsidR="00A65238" w:rsidRPr="00411E44" w:rsidRDefault="00E44556" w:rsidP="00E44556">
            <w:pPr>
              <w:pStyle w:val="Kehatekst"/>
              <w:tabs>
                <w:tab w:val="left" w:pos="6521"/>
              </w:tabs>
              <w:jc w:val="left"/>
            </w:pPr>
            <w:r w:rsidRPr="00411E44">
              <w:t>V</w:t>
            </w:r>
            <w:r w:rsidR="00C9100F">
              <w:t>allav</w:t>
            </w:r>
            <w:r w:rsidR="006C59C0" w:rsidRPr="00411E44">
              <w:t>olikogu esimees</w:t>
            </w:r>
          </w:p>
        </w:tc>
      </w:tr>
    </w:tbl>
    <w:p w:rsidR="00C9100F" w:rsidRDefault="00C9100F" w:rsidP="00A65238">
      <w:pPr>
        <w:autoSpaceDE w:val="0"/>
        <w:autoSpaceDN w:val="0"/>
        <w:jc w:val="both"/>
      </w:pPr>
    </w:p>
    <w:p w:rsidR="00C9100F" w:rsidRDefault="00C9100F" w:rsidP="00A65238">
      <w:pPr>
        <w:autoSpaceDE w:val="0"/>
        <w:autoSpaceDN w:val="0"/>
        <w:jc w:val="both"/>
      </w:pPr>
    </w:p>
    <w:p w:rsidR="00C9100F" w:rsidRDefault="00C9100F" w:rsidP="00A65238">
      <w:pPr>
        <w:autoSpaceDE w:val="0"/>
        <w:autoSpaceDN w:val="0"/>
        <w:jc w:val="both"/>
      </w:pPr>
    </w:p>
    <w:p w:rsidR="00C9100F" w:rsidRDefault="00C9100F" w:rsidP="00A65238">
      <w:pPr>
        <w:autoSpaceDE w:val="0"/>
        <w:autoSpaceDN w:val="0"/>
        <w:jc w:val="both"/>
      </w:pPr>
      <w:r>
        <w:t>Eelnõu esitaja: Viimsi Vallavalitsus</w:t>
      </w:r>
    </w:p>
    <w:p w:rsidR="00A65238" w:rsidRPr="00411E44" w:rsidRDefault="00A65238" w:rsidP="00A65238">
      <w:pPr>
        <w:autoSpaceDE w:val="0"/>
        <w:autoSpaceDN w:val="0"/>
        <w:jc w:val="both"/>
      </w:pPr>
      <w:r w:rsidRPr="00411E44">
        <w:t>Eelnõu koostaja: Anne Siitan, planeeringute koordinaator</w:t>
      </w:r>
    </w:p>
    <w:p w:rsidR="00A65238" w:rsidRPr="00411E44" w:rsidRDefault="00A65238" w:rsidP="00A65238">
      <w:pPr>
        <w:jc w:val="both"/>
      </w:pPr>
    </w:p>
    <w:p w:rsidR="00A65238" w:rsidRPr="00411E44" w:rsidRDefault="00A65238" w:rsidP="00A65238">
      <w:pPr>
        <w:jc w:val="both"/>
      </w:pPr>
      <w:r w:rsidRPr="00411E44">
        <w:t xml:space="preserve">Kooskõlastatud: </w:t>
      </w:r>
    </w:p>
    <w:p w:rsidR="00A65238" w:rsidRPr="00411E44" w:rsidRDefault="00A65238" w:rsidP="00A65238">
      <w:pPr>
        <w:jc w:val="both"/>
      </w:pPr>
    </w:p>
    <w:p w:rsidR="00A65238" w:rsidRPr="00411E44" w:rsidRDefault="00A65238" w:rsidP="00A65238">
      <w:pPr>
        <w:jc w:val="both"/>
      </w:pPr>
    </w:p>
    <w:p w:rsidR="00A65238" w:rsidRPr="00411E44" w:rsidRDefault="00A65238" w:rsidP="00A65238">
      <w:pPr>
        <w:jc w:val="both"/>
      </w:pPr>
    </w:p>
    <w:tbl>
      <w:tblPr>
        <w:tblW w:w="9072" w:type="dxa"/>
        <w:tblInd w:w="108" w:type="dxa"/>
        <w:tblLayout w:type="fixed"/>
        <w:tblLook w:val="04A0" w:firstRow="1" w:lastRow="0" w:firstColumn="1" w:lastColumn="0" w:noHBand="0" w:noVBand="1"/>
      </w:tblPr>
      <w:tblGrid>
        <w:gridCol w:w="2986"/>
        <w:gridCol w:w="2860"/>
        <w:gridCol w:w="3226"/>
      </w:tblGrid>
      <w:tr w:rsidR="00A65238" w:rsidRPr="00411E44" w:rsidTr="00C9100F">
        <w:tc>
          <w:tcPr>
            <w:tcW w:w="2986" w:type="dxa"/>
            <w:shd w:val="clear" w:color="auto" w:fill="auto"/>
          </w:tcPr>
          <w:p w:rsidR="00A65238" w:rsidRPr="00411E44" w:rsidRDefault="00C9100F" w:rsidP="006A0FA7">
            <w:pPr>
              <w:jc w:val="both"/>
            </w:pPr>
            <w:r>
              <w:t>Margus Talsi</w:t>
            </w:r>
          </w:p>
        </w:tc>
        <w:tc>
          <w:tcPr>
            <w:tcW w:w="2860" w:type="dxa"/>
            <w:shd w:val="clear" w:color="auto" w:fill="auto"/>
          </w:tcPr>
          <w:p w:rsidR="00A65238" w:rsidRPr="00411E44" w:rsidRDefault="00A65238" w:rsidP="006A0FA7">
            <w:pPr>
              <w:jc w:val="both"/>
            </w:pPr>
            <w:r w:rsidRPr="00411E44">
              <w:t>Margus Kruusmägi</w:t>
            </w:r>
          </w:p>
        </w:tc>
        <w:tc>
          <w:tcPr>
            <w:tcW w:w="3226" w:type="dxa"/>
            <w:shd w:val="clear" w:color="auto" w:fill="auto"/>
          </w:tcPr>
          <w:p w:rsidR="00A65238" w:rsidRPr="00411E44" w:rsidRDefault="00A65238" w:rsidP="006A0FA7">
            <w:pPr>
              <w:jc w:val="both"/>
            </w:pPr>
            <w:r w:rsidRPr="00411E44">
              <w:t xml:space="preserve">Kristi Tomingas </w:t>
            </w:r>
          </w:p>
        </w:tc>
      </w:tr>
      <w:tr w:rsidR="00A65238" w:rsidRPr="00411E44" w:rsidTr="00C9100F">
        <w:tc>
          <w:tcPr>
            <w:tcW w:w="2986" w:type="dxa"/>
            <w:shd w:val="clear" w:color="auto" w:fill="auto"/>
          </w:tcPr>
          <w:p w:rsidR="00A65238" w:rsidRPr="00411E44" w:rsidRDefault="00C9100F" w:rsidP="006A0FA7">
            <w:pPr>
              <w:jc w:val="both"/>
            </w:pPr>
            <w:r>
              <w:t>Abiv</w:t>
            </w:r>
            <w:r w:rsidR="00A65238" w:rsidRPr="00411E44">
              <w:t>allavanem</w:t>
            </w:r>
          </w:p>
        </w:tc>
        <w:tc>
          <w:tcPr>
            <w:tcW w:w="2860" w:type="dxa"/>
            <w:shd w:val="clear" w:color="auto" w:fill="auto"/>
          </w:tcPr>
          <w:p w:rsidR="00A65238" w:rsidRPr="00411E44" w:rsidRDefault="00A65238" w:rsidP="006A0FA7">
            <w:pPr>
              <w:jc w:val="both"/>
            </w:pPr>
            <w:r w:rsidRPr="00411E44">
              <w:t>Abivallavanem</w:t>
            </w:r>
          </w:p>
        </w:tc>
        <w:tc>
          <w:tcPr>
            <w:tcW w:w="3226" w:type="dxa"/>
            <w:shd w:val="clear" w:color="auto" w:fill="auto"/>
          </w:tcPr>
          <w:p w:rsidR="00A65238" w:rsidRPr="00411E44" w:rsidRDefault="00A65238" w:rsidP="006A0FA7">
            <w:pPr>
              <w:jc w:val="both"/>
            </w:pPr>
            <w:r w:rsidRPr="00411E44">
              <w:t>Vallasekretär</w:t>
            </w:r>
          </w:p>
        </w:tc>
      </w:tr>
    </w:tbl>
    <w:p w:rsidR="00A65238" w:rsidRDefault="00A65238" w:rsidP="00A65238">
      <w:pPr>
        <w:jc w:val="both"/>
      </w:pPr>
    </w:p>
    <w:p w:rsidR="00C9100F" w:rsidRDefault="00C9100F" w:rsidP="00A65238">
      <w:pPr>
        <w:jc w:val="both"/>
      </w:pPr>
    </w:p>
    <w:p w:rsidR="00C9100F" w:rsidRPr="00411E44" w:rsidRDefault="00C9100F" w:rsidP="00A65238">
      <w:pPr>
        <w:jc w:val="both"/>
      </w:pPr>
    </w:p>
    <w:p w:rsidR="00A65238" w:rsidRPr="00411E44" w:rsidRDefault="00A65238" w:rsidP="00A65238">
      <w:pPr>
        <w:jc w:val="both"/>
      </w:pPr>
    </w:p>
    <w:tbl>
      <w:tblPr>
        <w:tblW w:w="0" w:type="auto"/>
        <w:tblInd w:w="108" w:type="dxa"/>
        <w:tblLayout w:type="fixed"/>
        <w:tblLook w:val="04A0" w:firstRow="1" w:lastRow="0" w:firstColumn="1" w:lastColumn="0" w:noHBand="0" w:noVBand="1"/>
      </w:tblPr>
      <w:tblGrid>
        <w:gridCol w:w="2980"/>
        <w:gridCol w:w="3118"/>
      </w:tblGrid>
      <w:tr w:rsidR="00A65238" w:rsidRPr="00411E44" w:rsidTr="006A0FA7">
        <w:tc>
          <w:tcPr>
            <w:tcW w:w="2980" w:type="dxa"/>
            <w:shd w:val="clear" w:color="auto" w:fill="auto"/>
          </w:tcPr>
          <w:p w:rsidR="00A65238" w:rsidRPr="00411E44" w:rsidRDefault="00A65238" w:rsidP="006A0FA7">
            <w:pPr>
              <w:jc w:val="both"/>
            </w:pPr>
            <w:r w:rsidRPr="00411E44">
              <w:t>Erik Vest</w:t>
            </w:r>
          </w:p>
          <w:p w:rsidR="00A65238" w:rsidRPr="00411E44" w:rsidRDefault="00A65238" w:rsidP="006A0FA7">
            <w:pPr>
              <w:jc w:val="both"/>
            </w:pPr>
            <w:r w:rsidRPr="00411E44">
              <w:t>Keskkonna- ja</w:t>
            </w:r>
          </w:p>
          <w:p w:rsidR="00A65238" w:rsidRPr="00411E44" w:rsidRDefault="00A65238" w:rsidP="006A0FA7">
            <w:pPr>
              <w:jc w:val="both"/>
            </w:pPr>
            <w:r w:rsidRPr="00411E44">
              <w:t xml:space="preserve">planeerimisameti juhataja </w:t>
            </w:r>
          </w:p>
        </w:tc>
        <w:tc>
          <w:tcPr>
            <w:tcW w:w="3118" w:type="dxa"/>
            <w:shd w:val="clear" w:color="auto" w:fill="auto"/>
          </w:tcPr>
          <w:p w:rsidR="00A65238" w:rsidRPr="00411E44" w:rsidRDefault="00A65238" w:rsidP="006A0FA7">
            <w:pPr>
              <w:jc w:val="both"/>
            </w:pPr>
          </w:p>
          <w:p w:rsidR="00A65238" w:rsidRPr="00411E44" w:rsidRDefault="00A65238" w:rsidP="006A0FA7">
            <w:pPr>
              <w:jc w:val="both"/>
            </w:pPr>
          </w:p>
          <w:p w:rsidR="00A65238" w:rsidRPr="00411E44" w:rsidRDefault="00A65238" w:rsidP="006A0FA7">
            <w:pPr>
              <w:jc w:val="both"/>
            </w:pPr>
          </w:p>
        </w:tc>
      </w:tr>
    </w:tbl>
    <w:p w:rsidR="00D35CAB" w:rsidRPr="00411E44" w:rsidRDefault="00D35CAB" w:rsidP="00411E44">
      <w:pPr>
        <w:tabs>
          <w:tab w:val="left" w:pos="3735"/>
        </w:tabs>
      </w:pPr>
    </w:p>
    <w:sectPr w:rsidR="00D35CAB" w:rsidRPr="00411E44" w:rsidSect="00273B5E">
      <w:pgSz w:w="11906" w:h="16838"/>
      <w:pgMar w:top="1418" w:right="1134"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E Times New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40D31"/>
    <w:multiLevelType w:val="multilevel"/>
    <w:tmpl w:val="72BC32D4"/>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8FD0EB2"/>
    <w:multiLevelType w:val="hybridMultilevel"/>
    <w:tmpl w:val="807234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2A7483"/>
    <w:multiLevelType w:val="hybridMultilevel"/>
    <w:tmpl w:val="484A973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BF"/>
    <w:rsid w:val="00004F4F"/>
    <w:rsid w:val="00005C1C"/>
    <w:rsid w:val="00010AF6"/>
    <w:rsid w:val="000117CC"/>
    <w:rsid w:val="000136E2"/>
    <w:rsid w:val="00015253"/>
    <w:rsid w:val="0001611E"/>
    <w:rsid w:val="00020A1E"/>
    <w:rsid w:val="00022EA6"/>
    <w:rsid w:val="00033815"/>
    <w:rsid w:val="0004355C"/>
    <w:rsid w:val="00044127"/>
    <w:rsid w:val="00051BF5"/>
    <w:rsid w:val="00052C7E"/>
    <w:rsid w:val="00053A51"/>
    <w:rsid w:val="00055540"/>
    <w:rsid w:val="00056694"/>
    <w:rsid w:val="00056AE7"/>
    <w:rsid w:val="000609F3"/>
    <w:rsid w:val="00061A2B"/>
    <w:rsid w:val="00071CD6"/>
    <w:rsid w:val="00071E10"/>
    <w:rsid w:val="00073BBC"/>
    <w:rsid w:val="000740EF"/>
    <w:rsid w:val="00074CE9"/>
    <w:rsid w:val="00075E26"/>
    <w:rsid w:val="000805A0"/>
    <w:rsid w:val="0008076E"/>
    <w:rsid w:val="00080D15"/>
    <w:rsid w:val="000832B7"/>
    <w:rsid w:val="0008352D"/>
    <w:rsid w:val="000842D3"/>
    <w:rsid w:val="00090833"/>
    <w:rsid w:val="000945EE"/>
    <w:rsid w:val="000947BD"/>
    <w:rsid w:val="000A2B1C"/>
    <w:rsid w:val="000A6C20"/>
    <w:rsid w:val="000B5857"/>
    <w:rsid w:val="000B65E0"/>
    <w:rsid w:val="000C2DEF"/>
    <w:rsid w:val="000C33EF"/>
    <w:rsid w:val="000C3CB1"/>
    <w:rsid w:val="000C6396"/>
    <w:rsid w:val="000C6765"/>
    <w:rsid w:val="000C68E5"/>
    <w:rsid w:val="000C76C2"/>
    <w:rsid w:val="000C7EF6"/>
    <w:rsid w:val="000E2A48"/>
    <w:rsid w:val="000E5C58"/>
    <w:rsid w:val="000E7EC6"/>
    <w:rsid w:val="00104400"/>
    <w:rsid w:val="00106173"/>
    <w:rsid w:val="00115019"/>
    <w:rsid w:val="001218E0"/>
    <w:rsid w:val="00122532"/>
    <w:rsid w:val="00123069"/>
    <w:rsid w:val="0013708D"/>
    <w:rsid w:val="001411F8"/>
    <w:rsid w:val="001411FF"/>
    <w:rsid w:val="00141F82"/>
    <w:rsid w:val="00145D1A"/>
    <w:rsid w:val="00150A95"/>
    <w:rsid w:val="00151179"/>
    <w:rsid w:val="00152308"/>
    <w:rsid w:val="001555E0"/>
    <w:rsid w:val="00155A50"/>
    <w:rsid w:val="00173DDD"/>
    <w:rsid w:val="00175272"/>
    <w:rsid w:val="00180429"/>
    <w:rsid w:val="00184994"/>
    <w:rsid w:val="001922DE"/>
    <w:rsid w:val="00194501"/>
    <w:rsid w:val="001A35E8"/>
    <w:rsid w:val="001A42E5"/>
    <w:rsid w:val="001B09B7"/>
    <w:rsid w:val="001B42D5"/>
    <w:rsid w:val="001B4B6D"/>
    <w:rsid w:val="001C72E6"/>
    <w:rsid w:val="001D16DF"/>
    <w:rsid w:val="001D6BF0"/>
    <w:rsid w:val="001E1196"/>
    <w:rsid w:val="001E4BF2"/>
    <w:rsid w:val="001E50D8"/>
    <w:rsid w:val="001E6647"/>
    <w:rsid w:val="001F09B2"/>
    <w:rsid w:val="001F0BA7"/>
    <w:rsid w:val="001F2D21"/>
    <w:rsid w:val="001F5AF8"/>
    <w:rsid w:val="001F7A0C"/>
    <w:rsid w:val="00202539"/>
    <w:rsid w:val="00206E3A"/>
    <w:rsid w:val="00212E2D"/>
    <w:rsid w:val="00213CF6"/>
    <w:rsid w:val="002170EC"/>
    <w:rsid w:val="00217BDB"/>
    <w:rsid w:val="002216F9"/>
    <w:rsid w:val="00224124"/>
    <w:rsid w:val="00226D17"/>
    <w:rsid w:val="00226DC6"/>
    <w:rsid w:val="00232828"/>
    <w:rsid w:val="00233179"/>
    <w:rsid w:val="00240D71"/>
    <w:rsid w:val="0024386D"/>
    <w:rsid w:val="00243AE9"/>
    <w:rsid w:val="00243C72"/>
    <w:rsid w:val="002476BD"/>
    <w:rsid w:val="002509AB"/>
    <w:rsid w:val="002538AE"/>
    <w:rsid w:val="00261C0F"/>
    <w:rsid w:val="00264FC8"/>
    <w:rsid w:val="00273B5E"/>
    <w:rsid w:val="00277C88"/>
    <w:rsid w:val="00277FFE"/>
    <w:rsid w:val="00280BCC"/>
    <w:rsid w:val="00281460"/>
    <w:rsid w:val="00284671"/>
    <w:rsid w:val="0028798F"/>
    <w:rsid w:val="00290FDA"/>
    <w:rsid w:val="002916C2"/>
    <w:rsid w:val="0029741F"/>
    <w:rsid w:val="002A1639"/>
    <w:rsid w:val="002A1E72"/>
    <w:rsid w:val="002A20AD"/>
    <w:rsid w:val="002A3EB4"/>
    <w:rsid w:val="002A60C1"/>
    <w:rsid w:val="002A644A"/>
    <w:rsid w:val="002A7693"/>
    <w:rsid w:val="002B4A65"/>
    <w:rsid w:val="002B5B2A"/>
    <w:rsid w:val="002C05B7"/>
    <w:rsid w:val="002E4003"/>
    <w:rsid w:val="002E46BC"/>
    <w:rsid w:val="002E4E2A"/>
    <w:rsid w:val="002F6D95"/>
    <w:rsid w:val="0030242E"/>
    <w:rsid w:val="00302A0C"/>
    <w:rsid w:val="00302C0C"/>
    <w:rsid w:val="00307710"/>
    <w:rsid w:val="00311DB5"/>
    <w:rsid w:val="00311FBC"/>
    <w:rsid w:val="00315D63"/>
    <w:rsid w:val="00317927"/>
    <w:rsid w:val="0032442F"/>
    <w:rsid w:val="00326568"/>
    <w:rsid w:val="0033510B"/>
    <w:rsid w:val="00341F1A"/>
    <w:rsid w:val="003421DB"/>
    <w:rsid w:val="00342B98"/>
    <w:rsid w:val="003525D6"/>
    <w:rsid w:val="003607DA"/>
    <w:rsid w:val="003614C6"/>
    <w:rsid w:val="0036295E"/>
    <w:rsid w:val="0037208C"/>
    <w:rsid w:val="003769D8"/>
    <w:rsid w:val="003806DB"/>
    <w:rsid w:val="00380D22"/>
    <w:rsid w:val="0038524B"/>
    <w:rsid w:val="00387BC1"/>
    <w:rsid w:val="00391058"/>
    <w:rsid w:val="003A6FCB"/>
    <w:rsid w:val="003A73FD"/>
    <w:rsid w:val="003B2831"/>
    <w:rsid w:val="003B2AB3"/>
    <w:rsid w:val="003B3A8E"/>
    <w:rsid w:val="003B7A9A"/>
    <w:rsid w:val="003B7AAC"/>
    <w:rsid w:val="003C1A0E"/>
    <w:rsid w:val="003C1E40"/>
    <w:rsid w:val="003D14F6"/>
    <w:rsid w:val="003D5499"/>
    <w:rsid w:val="003D69FC"/>
    <w:rsid w:val="003E0718"/>
    <w:rsid w:val="003E3F6F"/>
    <w:rsid w:val="003E4A1D"/>
    <w:rsid w:val="003E5183"/>
    <w:rsid w:val="003E548E"/>
    <w:rsid w:val="003F3D4E"/>
    <w:rsid w:val="003F6ED9"/>
    <w:rsid w:val="003F7902"/>
    <w:rsid w:val="004004ED"/>
    <w:rsid w:val="00402CA1"/>
    <w:rsid w:val="00404A0A"/>
    <w:rsid w:val="00407B41"/>
    <w:rsid w:val="00411E44"/>
    <w:rsid w:val="004152E2"/>
    <w:rsid w:val="004168AE"/>
    <w:rsid w:val="00426143"/>
    <w:rsid w:val="00444373"/>
    <w:rsid w:val="00450122"/>
    <w:rsid w:val="0045516C"/>
    <w:rsid w:val="004658DC"/>
    <w:rsid w:val="00470AC6"/>
    <w:rsid w:val="004713A5"/>
    <w:rsid w:val="004731C6"/>
    <w:rsid w:val="0047334D"/>
    <w:rsid w:val="004741C8"/>
    <w:rsid w:val="00485197"/>
    <w:rsid w:val="00487BF7"/>
    <w:rsid w:val="00490A1F"/>
    <w:rsid w:val="004A0CE0"/>
    <w:rsid w:val="004A349D"/>
    <w:rsid w:val="004B3A48"/>
    <w:rsid w:val="004B7C01"/>
    <w:rsid w:val="004C084C"/>
    <w:rsid w:val="004D7D77"/>
    <w:rsid w:val="004E0399"/>
    <w:rsid w:val="004E13C5"/>
    <w:rsid w:val="004E2DC2"/>
    <w:rsid w:val="004E550D"/>
    <w:rsid w:val="004E6092"/>
    <w:rsid w:val="004F10D2"/>
    <w:rsid w:val="004F6726"/>
    <w:rsid w:val="00501C2C"/>
    <w:rsid w:val="00515C12"/>
    <w:rsid w:val="0052087B"/>
    <w:rsid w:val="0052131E"/>
    <w:rsid w:val="0052140F"/>
    <w:rsid w:val="00523EC1"/>
    <w:rsid w:val="00530B17"/>
    <w:rsid w:val="00530E9B"/>
    <w:rsid w:val="00531BD6"/>
    <w:rsid w:val="005324DA"/>
    <w:rsid w:val="00542726"/>
    <w:rsid w:val="005451CD"/>
    <w:rsid w:val="005456A8"/>
    <w:rsid w:val="005506D1"/>
    <w:rsid w:val="0055074B"/>
    <w:rsid w:val="00553184"/>
    <w:rsid w:val="0056030F"/>
    <w:rsid w:val="00565DFF"/>
    <w:rsid w:val="00580061"/>
    <w:rsid w:val="00584647"/>
    <w:rsid w:val="00586CCA"/>
    <w:rsid w:val="00593AF4"/>
    <w:rsid w:val="00596228"/>
    <w:rsid w:val="005A30FC"/>
    <w:rsid w:val="005A5514"/>
    <w:rsid w:val="005A5D03"/>
    <w:rsid w:val="005B17C3"/>
    <w:rsid w:val="005B4A17"/>
    <w:rsid w:val="005B7730"/>
    <w:rsid w:val="005C2BD5"/>
    <w:rsid w:val="005C6099"/>
    <w:rsid w:val="005D0161"/>
    <w:rsid w:val="005D62A8"/>
    <w:rsid w:val="005E575C"/>
    <w:rsid w:val="005E7E5A"/>
    <w:rsid w:val="005F000A"/>
    <w:rsid w:val="005F0B25"/>
    <w:rsid w:val="005F3B72"/>
    <w:rsid w:val="005F51C8"/>
    <w:rsid w:val="00601C29"/>
    <w:rsid w:val="00603637"/>
    <w:rsid w:val="00621176"/>
    <w:rsid w:val="00624BB4"/>
    <w:rsid w:val="00631BC0"/>
    <w:rsid w:val="00634945"/>
    <w:rsid w:val="006434EA"/>
    <w:rsid w:val="006437A4"/>
    <w:rsid w:val="00644AEF"/>
    <w:rsid w:val="00646832"/>
    <w:rsid w:val="00647363"/>
    <w:rsid w:val="0065604F"/>
    <w:rsid w:val="00662EAB"/>
    <w:rsid w:val="006655A3"/>
    <w:rsid w:val="006655FC"/>
    <w:rsid w:val="00672053"/>
    <w:rsid w:val="0067229E"/>
    <w:rsid w:val="00675153"/>
    <w:rsid w:val="00685EF2"/>
    <w:rsid w:val="00687415"/>
    <w:rsid w:val="00690AF0"/>
    <w:rsid w:val="00695C78"/>
    <w:rsid w:val="00696789"/>
    <w:rsid w:val="006A0FA7"/>
    <w:rsid w:val="006A417D"/>
    <w:rsid w:val="006A5A21"/>
    <w:rsid w:val="006B5864"/>
    <w:rsid w:val="006B7A2D"/>
    <w:rsid w:val="006B7B34"/>
    <w:rsid w:val="006C31AC"/>
    <w:rsid w:val="006C3421"/>
    <w:rsid w:val="006C59C0"/>
    <w:rsid w:val="006C5A95"/>
    <w:rsid w:val="006D3F11"/>
    <w:rsid w:val="006D57F1"/>
    <w:rsid w:val="006E3530"/>
    <w:rsid w:val="006E4CC1"/>
    <w:rsid w:val="006E4FBB"/>
    <w:rsid w:val="006F10C2"/>
    <w:rsid w:val="006F3550"/>
    <w:rsid w:val="007133C2"/>
    <w:rsid w:val="00720299"/>
    <w:rsid w:val="007251C2"/>
    <w:rsid w:val="00725339"/>
    <w:rsid w:val="00725FD0"/>
    <w:rsid w:val="00733420"/>
    <w:rsid w:val="00747959"/>
    <w:rsid w:val="00752A18"/>
    <w:rsid w:val="00753879"/>
    <w:rsid w:val="00761A5B"/>
    <w:rsid w:val="00766B1E"/>
    <w:rsid w:val="00774C8F"/>
    <w:rsid w:val="007751E6"/>
    <w:rsid w:val="00781F78"/>
    <w:rsid w:val="00790214"/>
    <w:rsid w:val="00791736"/>
    <w:rsid w:val="00794295"/>
    <w:rsid w:val="0079474D"/>
    <w:rsid w:val="00795D16"/>
    <w:rsid w:val="007A1631"/>
    <w:rsid w:val="007A729B"/>
    <w:rsid w:val="007A7BC6"/>
    <w:rsid w:val="007B063C"/>
    <w:rsid w:val="007B163F"/>
    <w:rsid w:val="007B53E8"/>
    <w:rsid w:val="007B7DD1"/>
    <w:rsid w:val="007C0949"/>
    <w:rsid w:val="007C09EB"/>
    <w:rsid w:val="007C19D0"/>
    <w:rsid w:val="007C3F9E"/>
    <w:rsid w:val="007C50DA"/>
    <w:rsid w:val="007D7309"/>
    <w:rsid w:val="007E0370"/>
    <w:rsid w:val="007E153D"/>
    <w:rsid w:val="007E770F"/>
    <w:rsid w:val="007F014F"/>
    <w:rsid w:val="007F0520"/>
    <w:rsid w:val="007F10B7"/>
    <w:rsid w:val="007F3BFC"/>
    <w:rsid w:val="0080326A"/>
    <w:rsid w:val="00807917"/>
    <w:rsid w:val="00811597"/>
    <w:rsid w:val="0082390A"/>
    <w:rsid w:val="008336CC"/>
    <w:rsid w:val="00834A0D"/>
    <w:rsid w:val="00836796"/>
    <w:rsid w:val="00836D6C"/>
    <w:rsid w:val="00837BDD"/>
    <w:rsid w:val="00851064"/>
    <w:rsid w:val="00852BA8"/>
    <w:rsid w:val="0085542A"/>
    <w:rsid w:val="008555F2"/>
    <w:rsid w:val="00860FF3"/>
    <w:rsid w:val="0086786A"/>
    <w:rsid w:val="008711CE"/>
    <w:rsid w:val="008744DC"/>
    <w:rsid w:val="00876B21"/>
    <w:rsid w:val="00886259"/>
    <w:rsid w:val="0089127B"/>
    <w:rsid w:val="0089338F"/>
    <w:rsid w:val="00893A83"/>
    <w:rsid w:val="00896044"/>
    <w:rsid w:val="008969D8"/>
    <w:rsid w:val="008A4E7B"/>
    <w:rsid w:val="008A6FC0"/>
    <w:rsid w:val="008B13EA"/>
    <w:rsid w:val="008C302E"/>
    <w:rsid w:val="008D2A66"/>
    <w:rsid w:val="008D37FA"/>
    <w:rsid w:val="008F3681"/>
    <w:rsid w:val="008F3CA3"/>
    <w:rsid w:val="009011FA"/>
    <w:rsid w:val="00903583"/>
    <w:rsid w:val="00905469"/>
    <w:rsid w:val="00906036"/>
    <w:rsid w:val="00910D04"/>
    <w:rsid w:val="0092175A"/>
    <w:rsid w:val="00922EC8"/>
    <w:rsid w:val="00923248"/>
    <w:rsid w:val="00925D4F"/>
    <w:rsid w:val="00935109"/>
    <w:rsid w:val="009565F8"/>
    <w:rsid w:val="009607C1"/>
    <w:rsid w:val="00963B9E"/>
    <w:rsid w:val="0096599A"/>
    <w:rsid w:val="00971F30"/>
    <w:rsid w:val="00974B6D"/>
    <w:rsid w:val="009759A5"/>
    <w:rsid w:val="009766DC"/>
    <w:rsid w:val="009770B6"/>
    <w:rsid w:val="00982238"/>
    <w:rsid w:val="0098768B"/>
    <w:rsid w:val="009879EE"/>
    <w:rsid w:val="0099297F"/>
    <w:rsid w:val="00994D54"/>
    <w:rsid w:val="009951BF"/>
    <w:rsid w:val="009A09AA"/>
    <w:rsid w:val="009A1613"/>
    <w:rsid w:val="009A22B1"/>
    <w:rsid w:val="009A286C"/>
    <w:rsid w:val="009A287A"/>
    <w:rsid w:val="009A5F72"/>
    <w:rsid w:val="009B09A6"/>
    <w:rsid w:val="009B2A62"/>
    <w:rsid w:val="009B5E5B"/>
    <w:rsid w:val="009C040A"/>
    <w:rsid w:val="009C2AC3"/>
    <w:rsid w:val="009C3C70"/>
    <w:rsid w:val="009D2E32"/>
    <w:rsid w:val="009D6CE2"/>
    <w:rsid w:val="009E0D5D"/>
    <w:rsid w:val="009E14C6"/>
    <w:rsid w:val="009E3372"/>
    <w:rsid w:val="009E3B2C"/>
    <w:rsid w:val="009E55F0"/>
    <w:rsid w:val="009F06BD"/>
    <w:rsid w:val="009F47C0"/>
    <w:rsid w:val="00A056D1"/>
    <w:rsid w:val="00A05DB2"/>
    <w:rsid w:val="00A12970"/>
    <w:rsid w:val="00A228EE"/>
    <w:rsid w:val="00A24A55"/>
    <w:rsid w:val="00A274E9"/>
    <w:rsid w:val="00A30356"/>
    <w:rsid w:val="00A37466"/>
    <w:rsid w:val="00A41B9B"/>
    <w:rsid w:val="00A45E3F"/>
    <w:rsid w:val="00A46078"/>
    <w:rsid w:val="00A5059F"/>
    <w:rsid w:val="00A507EE"/>
    <w:rsid w:val="00A532D2"/>
    <w:rsid w:val="00A60847"/>
    <w:rsid w:val="00A6264E"/>
    <w:rsid w:val="00A65238"/>
    <w:rsid w:val="00A67BBF"/>
    <w:rsid w:val="00A67DB8"/>
    <w:rsid w:val="00A70BF3"/>
    <w:rsid w:val="00A72056"/>
    <w:rsid w:val="00A722F6"/>
    <w:rsid w:val="00A734DD"/>
    <w:rsid w:val="00A74803"/>
    <w:rsid w:val="00A83C05"/>
    <w:rsid w:val="00A92420"/>
    <w:rsid w:val="00A965F8"/>
    <w:rsid w:val="00AA1791"/>
    <w:rsid w:val="00AA338D"/>
    <w:rsid w:val="00AA33A4"/>
    <w:rsid w:val="00AA3CB6"/>
    <w:rsid w:val="00AB0B8F"/>
    <w:rsid w:val="00AB4436"/>
    <w:rsid w:val="00AC1EC6"/>
    <w:rsid w:val="00AD25BB"/>
    <w:rsid w:val="00AD4089"/>
    <w:rsid w:val="00AD6354"/>
    <w:rsid w:val="00AE7C13"/>
    <w:rsid w:val="00AF13C3"/>
    <w:rsid w:val="00AF54B1"/>
    <w:rsid w:val="00B0071D"/>
    <w:rsid w:val="00B01AAB"/>
    <w:rsid w:val="00B01CA6"/>
    <w:rsid w:val="00B06087"/>
    <w:rsid w:val="00B14D33"/>
    <w:rsid w:val="00B163A2"/>
    <w:rsid w:val="00B23C1A"/>
    <w:rsid w:val="00B346E5"/>
    <w:rsid w:val="00B41A54"/>
    <w:rsid w:val="00B432DF"/>
    <w:rsid w:val="00B46497"/>
    <w:rsid w:val="00B47EBE"/>
    <w:rsid w:val="00B52B29"/>
    <w:rsid w:val="00B5348D"/>
    <w:rsid w:val="00B60852"/>
    <w:rsid w:val="00B61BF7"/>
    <w:rsid w:val="00B71F42"/>
    <w:rsid w:val="00B74826"/>
    <w:rsid w:val="00B81630"/>
    <w:rsid w:val="00B820F1"/>
    <w:rsid w:val="00B826B0"/>
    <w:rsid w:val="00B83926"/>
    <w:rsid w:val="00B850AD"/>
    <w:rsid w:val="00B934CA"/>
    <w:rsid w:val="00B968F2"/>
    <w:rsid w:val="00BA1B81"/>
    <w:rsid w:val="00BA4F25"/>
    <w:rsid w:val="00BA7095"/>
    <w:rsid w:val="00BA7620"/>
    <w:rsid w:val="00BB213A"/>
    <w:rsid w:val="00BB396B"/>
    <w:rsid w:val="00BB450A"/>
    <w:rsid w:val="00BB7A4A"/>
    <w:rsid w:val="00BC07CA"/>
    <w:rsid w:val="00BC2D57"/>
    <w:rsid w:val="00BC70F5"/>
    <w:rsid w:val="00BD02AC"/>
    <w:rsid w:val="00BD100D"/>
    <w:rsid w:val="00BD10BE"/>
    <w:rsid w:val="00BD373E"/>
    <w:rsid w:val="00BD45B0"/>
    <w:rsid w:val="00BD5DA6"/>
    <w:rsid w:val="00BD7559"/>
    <w:rsid w:val="00BE34F6"/>
    <w:rsid w:val="00BF0342"/>
    <w:rsid w:val="00C0186E"/>
    <w:rsid w:val="00C01CB0"/>
    <w:rsid w:val="00C01F0D"/>
    <w:rsid w:val="00C05D5F"/>
    <w:rsid w:val="00C05E53"/>
    <w:rsid w:val="00C06D96"/>
    <w:rsid w:val="00C1120A"/>
    <w:rsid w:val="00C1356D"/>
    <w:rsid w:val="00C1362F"/>
    <w:rsid w:val="00C1393E"/>
    <w:rsid w:val="00C16A53"/>
    <w:rsid w:val="00C16E7F"/>
    <w:rsid w:val="00C23349"/>
    <w:rsid w:val="00C235CD"/>
    <w:rsid w:val="00C25D68"/>
    <w:rsid w:val="00C260D7"/>
    <w:rsid w:val="00C34E35"/>
    <w:rsid w:val="00C41466"/>
    <w:rsid w:val="00C41B07"/>
    <w:rsid w:val="00C447EF"/>
    <w:rsid w:val="00C44A91"/>
    <w:rsid w:val="00C54FA7"/>
    <w:rsid w:val="00C565DA"/>
    <w:rsid w:val="00C61576"/>
    <w:rsid w:val="00C62FDE"/>
    <w:rsid w:val="00C64DF3"/>
    <w:rsid w:val="00C653E4"/>
    <w:rsid w:val="00C654A2"/>
    <w:rsid w:val="00C65B05"/>
    <w:rsid w:val="00C65E70"/>
    <w:rsid w:val="00C66E74"/>
    <w:rsid w:val="00C67415"/>
    <w:rsid w:val="00C906E6"/>
    <w:rsid w:val="00C9100F"/>
    <w:rsid w:val="00C91164"/>
    <w:rsid w:val="00CA1A74"/>
    <w:rsid w:val="00CA33A2"/>
    <w:rsid w:val="00CA438B"/>
    <w:rsid w:val="00CA4CF9"/>
    <w:rsid w:val="00CB174C"/>
    <w:rsid w:val="00CB2005"/>
    <w:rsid w:val="00CB36CD"/>
    <w:rsid w:val="00CB57E7"/>
    <w:rsid w:val="00CC5C9C"/>
    <w:rsid w:val="00CD083D"/>
    <w:rsid w:val="00CD4051"/>
    <w:rsid w:val="00CD6B80"/>
    <w:rsid w:val="00CD6F1C"/>
    <w:rsid w:val="00CE1AF9"/>
    <w:rsid w:val="00CE4E71"/>
    <w:rsid w:val="00CE652D"/>
    <w:rsid w:val="00CF7B7E"/>
    <w:rsid w:val="00D16A82"/>
    <w:rsid w:val="00D23055"/>
    <w:rsid w:val="00D251D2"/>
    <w:rsid w:val="00D33C91"/>
    <w:rsid w:val="00D34FCB"/>
    <w:rsid w:val="00D35CAB"/>
    <w:rsid w:val="00D407A0"/>
    <w:rsid w:val="00D426A2"/>
    <w:rsid w:val="00D47A71"/>
    <w:rsid w:val="00D5013C"/>
    <w:rsid w:val="00D534F0"/>
    <w:rsid w:val="00D60770"/>
    <w:rsid w:val="00D62F82"/>
    <w:rsid w:val="00D67CCF"/>
    <w:rsid w:val="00D71318"/>
    <w:rsid w:val="00D718FE"/>
    <w:rsid w:val="00D7470C"/>
    <w:rsid w:val="00D75D0B"/>
    <w:rsid w:val="00D76B0B"/>
    <w:rsid w:val="00D82F0F"/>
    <w:rsid w:val="00D83600"/>
    <w:rsid w:val="00D91B2C"/>
    <w:rsid w:val="00D924A6"/>
    <w:rsid w:val="00D9394B"/>
    <w:rsid w:val="00DA0F9E"/>
    <w:rsid w:val="00DA2A1D"/>
    <w:rsid w:val="00DB58DC"/>
    <w:rsid w:val="00DB5DBF"/>
    <w:rsid w:val="00DC1C7C"/>
    <w:rsid w:val="00DC1DD3"/>
    <w:rsid w:val="00DC1EC6"/>
    <w:rsid w:val="00DC47A8"/>
    <w:rsid w:val="00DD0611"/>
    <w:rsid w:val="00DD6EDE"/>
    <w:rsid w:val="00DE0228"/>
    <w:rsid w:val="00DE2534"/>
    <w:rsid w:val="00DE625A"/>
    <w:rsid w:val="00DE6FE4"/>
    <w:rsid w:val="00DF0ED4"/>
    <w:rsid w:val="00DF4201"/>
    <w:rsid w:val="00DF7920"/>
    <w:rsid w:val="00E06909"/>
    <w:rsid w:val="00E11DAF"/>
    <w:rsid w:val="00E1273B"/>
    <w:rsid w:val="00E13C03"/>
    <w:rsid w:val="00E15BD2"/>
    <w:rsid w:val="00E1791C"/>
    <w:rsid w:val="00E23C05"/>
    <w:rsid w:val="00E31A8D"/>
    <w:rsid w:val="00E348DC"/>
    <w:rsid w:val="00E3543F"/>
    <w:rsid w:val="00E37DF7"/>
    <w:rsid w:val="00E40A89"/>
    <w:rsid w:val="00E40BC6"/>
    <w:rsid w:val="00E411AC"/>
    <w:rsid w:val="00E44556"/>
    <w:rsid w:val="00E44958"/>
    <w:rsid w:val="00E45439"/>
    <w:rsid w:val="00E609B0"/>
    <w:rsid w:val="00E65978"/>
    <w:rsid w:val="00E73A09"/>
    <w:rsid w:val="00E84E89"/>
    <w:rsid w:val="00E85586"/>
    <w:rsid w:val="00E8647B"/>
    <w:rsid w:val="00E86B82"/>
    <w:rsid w:val="00E87B4C"/>
    <w:rsid w:val="00E931D6"/>
    <w:rsid w:val="00E94F26"/>
    <w:rsid w:val="00E95E75"/>
    <w:rsid w:val="00E9663E"/>
    <w:rsid w:val="00EA09A0"/>
    <w:rsid w:val="00EA7D1C"/>
    <w:rsid w:val="00EB56C1"/>
    <w:rsid w:val="00EB717B"/>
    <w:rsid w:val="00EC3991"/>
    <w:rsid w:val="00ED1246"/>
    <w:rsid w:val="00ED31F2"/>
    <w:rsid w:val="00ED3BE9"/>
    <w:rsid w:val="00EE1DB9"/>
    <w:rsid w:val="00EF122D"/>
    <w:rsid w:val="00EF1532"/>
    <w:rsid w:val="00EF25F2"/>
    <w:rsid w:val="00EF2F97"/>
    <w:rsid w:val="00EF4F96"/>
    <w:rsid w:val="00F010EB"/>
    <w:rsid w:val="00F0450C"/>
    <w:rsid w:val="00F11481"/>
    <w:rsid w:val="00F1215C"/>
    <w:rsid w:val="00F128A4"/>
    <w:rsid w:val="00F177DD"/>
    <w:rsid w:val="00F20B2B"/>
    <w:rsid w:val="00F210BE"/>
    <w:rsid w:val="00F21119"/>
    <w:rsid w:val="00F34197"/>
    <w:rsid w:val="00F35FDD"/>
    <w:rsid w:val="00F43DFE"/>
    <w:rsid w:val="00F45FF9"/>
    <w:rsid w:val="00F54163"/>
    <w:rsid w:val="00F54BEE"/>
    <w:rsid w:val="00F54E23"/>
    <w:rsid w:val="00F5581A"/>
    <w:rsid w:val="00F732B2"/>
    <w:rsid w:val="00F73767"/>
    <w:rsid w:val="00F751DF"/>
    <w:rsid w:val="00F8150E"/>
    <w:rsid w:val="00F81825"/>
    <w:rsid w:val="00F82244"/>
    <w:rsid w:val="00F8237D"/>
    <w:rsid w:val="00F826E5"/>
    <w:rsid w:val="00F923B7"/>
    <w:rsid w:val="00FA4A05"/>
    <w:rsid w:val="00FA505C"/>
    <w:rsid w:val="00FA6DA3"/>
    <w:rsid w:val="00FA7B34"/>
    <w:rsid w:val="00FB5384"/>
    <w:rsid w:val="00FB65E0"/>
    <w:rsid w:val="00FC44DE"/>
    <w:rsid w:val="00FC495A"/>
    <w:rsid w:val="00FD0FBC"/>
    <w:rsid w:val="00FD3878"/>
    <w:rsid w:val="00FE5B64"/>
    <w:rsid w:val="00FE6E3C"/>
    <w:rsid w:val="00FE6F3A"/>
    <w:rsid w:val="00FE7C5D"/>
    <w:rsid w:val="00FF433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134787-7140-4BB1-98AD-2299E8C7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pPr>
      <w:jc w:val="both"/>
    </w:pPr>
    <w:rPr>
      <w:szCs w:val="20"/>
    </w:rPr>
  </w:style>
  <w:style w:type="paragraph" w:customStyle="1" w:styleId="Pea">
    <w:name w:val="Pea"/>
    <w:basedOn w:val="Kehatekst"/>
    <w:pPr>
      <w:ind w:left="-1134"/>
      <w:jc w:val="center"/>
    </w:pPr>
    <w:rPr>
      <w:sz w:val="28"/>
    </w:rPr>
  </w:style>
  <w:style w:type="paragraph" w:customStyle="1" w:styleId="Loetelu">
    <w:name w:val="Loetelu"/>
    <w:basedOn w:val="Kehatekst"/>
    <w:pPr>
      <w:numPr>
        <w:numId w:val="1"/>
      </w:numPr>
      <w:spacing w:before="120"/>
    </w:pPr>
  </w:style>
  <w:style w:type="paragraph" w:customStyle="1" w:styleId="Bodyt">
    <w:name w:val="Bodyt"/>
    <w:basedOn w:val="Normaallaad"/>
    <w:pPr>
      <w:numPr>
        <w:ilvl w:val="1"/>
        <w:numId w:val="1"/>
      </w:numPr>
      <w:jc w:val="both"/>
    </w:pPr>
    <w:rPr>
      <w:szCs w:val="20"/>
    </w:rPr>
  </w:style>
  <w:style w:type="paragraph" w:styleId="Pis">
    <w:name w:val="header"/>
    <w:basedOn w:val="Normaallaad"/>
    <w:rsid w:val="00994D54"/>
    <w:pPr>
      <w:tabs>
        <w:tab w:val="center" w:pos="4153"/>
        <w:tab w:val="right" w:pos="8306"/>
      </w:tabs>
      <w:jc w:val="both"/>
    </w:pPr>
  </w:style>
  <w:style w:type="character" w:customStyle="1" w:styleId="KehatekstMrk">
    <w:name w:val="Kehatekst Märk"/>
    <w:link w:val="Kehatekst"/>
    <w:rsid w:val="00426143"/>
    <w:rPr>
      <w:sz w:val="24"/>
      <w:lang w:eastAsia="en-US"/>
    </w:rPr>
  </w:style>
  <w:style w:type="paragraph" w:styleId="Normaallaadveeb">
    <w:name w:val="Normal (Web)"/>
    <w:basedOn w:val="Normaallaad"/>
    <w:uiPriority w:val="99"/>
    <w:unhideWhenUsed/>
    <w:rsid w:val="00490A1F"/>
    <w:rPr>
      <w:rFonts w:eastAsia="Calibri"/>
      <w:lang w:eastAsia="et-EE"/>
    </w:rPr>
  </w:style>
  <w:style w:type="paragraph" w:styleId="Jutumullitekst">
    <w:name w:val="Balloon Text"/>
    <w:basedOn w:val="Normaallaad"/>
    <w:link w:val="JutumullitekstMrk"/>
    <w:rsid w:val="00C565DA"/>
    <w:rPr>
      <w:rFonts w:ascii="Tahoma" w:hAnsi="Tahoma" w:cs="Tahoma"/>
      <w:sz w:val="16"/>
      <w:szCs w:val="16"/>
    </w:rPr>
  </w:style>
  <w:style w:type="character" w:customStyle="1" w:styleId="JutumullitekstMrk">
    <w:name w:val="Jutumullitekst Märk"/>
    <w:link w:val="Jutumullitekst"/>
    <w:rsid w:val="00C565DA"/>
    <w:rPr>
      <w:rFonts w:ascii="Tahoma" w:hAnsi="Tahoma" w:cs="Tahoma"/>
      <w:sz w:val="16"/>
      <w:szCs w:val="16"/>
      <w:lang w:eastAsia="en-US"/>
    </w:rPr>
  </w:style>
  <w:style w:type="character" w:styleId="Hperlink">
    <w:name w:val="Hyperlink"/>
    <w:rsid w:val="00905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24226">
      <w:bodyDiv w:val="1"/>
      <w:marLeft w:val="0"/>
      <w:marRight w:val="0"/>
      <w:marTop w:val="0"/>
      <w:marBottom w:val="0"/>
      <w:divBdr>
        <w:top w:val="none" w:sz="0" w:space="0" w:color="auto"/>
        <w:left w:val="none" w:sz="0" w:space="0" w:color="auto"/>
        <w:bottom w:val="none" w:sz="0" w:space="0" w:color="auto"/>
        <w:right w:val="none" w:sz="0" w:space="0" w:color="auto"/>
      </w:divBdr>
    </w:div>
    <w:div w:id="1388912072">
      <w:bodyDiv w:val="1"/>
      <w:marLeft w:val="0"/>
      <w:marRight w:val="0"/>
      <w:marTop w:val="0"/>
      <w:marBottom w:val="0"/>
      <w:divBdr>
        <w:top w:val="none" w:sz="0" w:space="0" w:color="auto"/>
        <w:left w:val="none" w:sz="0" w:space="0" w:color="auto"/>
        <w:bottom w:val="none" w:sz="0" w:space="0" w:color="auto"/>
        <w:right w:val="none" w:sz="0" w:space="0" w:color="auto"/>
      </w:divBdr>
    </w:div>
    <w:div w:id="1779250534">
      <w:bodyDiv w:val="1"/>
      <w:marLeft w:val="0"/>
      <w:marRight w:val="0"/>
      <w:marTop w:val="0"/>
      <w:marBottom w:val="0"/>
      <w:divBdr>
        <w:top w:val="none" w:sz="0" w:space="0" w:color="auto"/>
        <w:left w:val="none" w:sz="0" w:space="0" w:color="auto"/>
        <w:bottom w:val="none" w:sz="0" w:space="0" w:color="auto"/>
        <w:right w:val="none" w:sz="0" w:space="0" w:color="auto"/>
      </w:divBdr>
      <w:divsChild>
        <w:div w:id="838076928">
          <w:marLeft w:val="0"/>
          <w:marRight w:val="0"/>
          <w:marTop w:val="0"/>
          <w:marBottom w:val="0"/>
          <w:divBdr>
            <w:top w:val="none" w:sz="0" w:space="0" w:color="auto"/>
            <w:left w:val="none" w:sz="0" w:space="0" w:color="auto"/>
            <w:bottom w:val="none" w:sz="0" w:space="0" w:color="auto"/>
            <w:right w:val="none" w:sz="0" w:space="0" w:color="auto"/>
          </w:divBdr>
        </w:div>
        <w:div w:id="884175567">
          <w:marLeft w:val="0"/>
          <w:marRight w:val="0"/>
          <w:marTop w:val="0"/>
          <w:marBottom w:val="0"/>
          <w:divBdr>
            <w:top w:val="none" w:sz="0" w:space="0" w:color="auto"/>
            <w:left w:val="none" w:sz="0" w:space="0" w:color="auto"/>
            <w:bottom w:val="none" w:sz="0" w:space="0" w:color="auto"/>
            <w:right w:val="none" w:sz="0" w:space="0" w:color="auto"/>
          </w:divBdr>
        </w:div>
      </w:divsChild>
    </w:div>
    <w:div w:id="19662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imsivald.ee/planeerimine-2/"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1495</Words>
  <Characters>8674</Characters>
  <Application>Microsoft Office Word</Application>
  <DocSecurity>0</DocSecurity>
  <Lines>72</Lines>
  <Paragraphs>20</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VIIMSI VALLAVALITSUS</vt:lpstr>
      <vt:lpstr>VIIMSI VALLAVALITSUS</vt:lpstr>
    </vt:vector>
  </TitlesOfParts>
  <Company>VVV</Company>
  <LinksUpToDate>false</LinksUpToDate>
  <CharactersWithSpaces>10149</CharactersWithSpaces>
  <SharedDoc>false</SharedDoc>
  <HLinks>
    <vt:vector size="6" baseType="variant">
      <vt:variant>
        <vt:i4>1114178</vt:i4>
      </vt:variant>
      <vt:variant>
        <vt:i4>0</vt:i4>
      </vt:variant>
      <vt:variant>
        <vt:i4>0</vt:i4>
      </vt:variant>
      <vt:variant>
        <vt:i4>5</vt:i4>
      </vt:variant>
      <vt:variant>
        <vt:lpwstr>http://www.viimsivald.ee/planeerimine-2/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VIIMSI VALLAVALITSUS</dc:title>
  <dc:subject/>
  <dc:creator>kristo</dc:creator>
  <cp:keywords/>
  <cp:lastModifiedBy>Birgit Mägi</cp:lastModifiedBy>
  <cp:revision>6</cp:revision>
  <cp:lastPrinted>2017-02-01T13:33:00Z</cp:lastPrinted>
  <dcterms:created xsi:type="dcterms:W3CDTF">2017-06-02T07:38:00Z</dcterms:created>
  <dcterms:modified xsi:type="dcterms:W3CDTF">2017-06-15T11:50:00Z</dcterms:modified>
</cp:coreProperties>
</file>