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9" w:rsidRDefault="00746019" w:rsidP="00746019">
      <w:pPr>
        <w:pStyle w:val="Pealkiri1"/>
        <w:jc w:val="right"/>
        <w:rPr>
          <w:lang w:val="et-EE"/>
        </w:rPr>
      </w:pPr>
      <w:r>
        <w:rPr>
          <w:lang w:val="et-EE"/>
        </w:rPr>
        <w:t xml:space="preserve">Lisa </w:t>
      </w:r>
      <w:r w:rsidR="0042709F">
        <w:rPr>
          <w:lang w:val="et-EE"/>
        </w:rPr>
        <w:t>1</w:t>
      </w:r>
    </w:p>
    <w:p w:rsidR="00746019" w:rsidRDefault="0042709F" w:rsidP="00746019">
      <w:pPr>
        <w:jc w:val="right"/>
        <w:rPr>
          <w:lang w:val="et-EE"/>
        </w:rPr>
      </w:pPr>
      <w:r>
        <w:rPr>
          <w:lang w:val="et-EE"/>
        </w:rPr>
        <w:t xml:space="preserve">  Viimsi v</w:t>
      </w:r>
      <w:r w:rsidR="00746019">
        <w:rPr>
          <w:lang w:val="et-EE"/>
        </w:rPr>
        <w:t>allavanema</w:t>
      </w:r>
    </w:p>
    <w:p w:rsidR="00746019" w:rsidRDefault="00731BF2" w:rsidP="00EE06C0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08</w:t>
      </w:r>
      <w:r w:rsidR="00EE06C0">
        <w:rPr>
          <w:lang w:val="et-EE"/>
        </w:rPr>
        <w:t>.11.2013</w:t>
      </w:r>
    </w:p>
    <w:p w:rsidR="00746019" w:rsidRDefault="00731BF2" w:rsidP="00746019">
      <w:pPr>
        <w:jc w:val="right"/>
        <w:rPr>
          <w:lang w:val="et-EE"/>
        </w:rPr>
      </w:pPr>
      <w:r>
        <w:rPr>
          <w:lang w:val="et-EE"/>
        </w:rPr>
        <w:t>käskkirjale nr 68</w:t>
      </w:r>
      <w:r w:rsidR="00EE06C0">
        <w:rPr>
          <w:lang w:val="et-EE"/>
        </w:rPr>
        <w:t>-P</w:t>
      </w:r>
    </w:p>
    <w:p w:rsidR="00D2025D" w:rsidRDefault="00D2025D" w:rsidP="00746019">
      <w:pPr>
        <w:jc w:val="both"/>
        <w:rPr>
          <w:b/>
          <w:sz w:val="28"/>
          <w:szCs w:val="28"/>
          <w:lang w:val="et-EE"/>
        </w:rPr>
      </w:pPr>
    </w:p>
    <w:p w:rsidR="00D2025D" w:rsidRDefault="00D2025D" w:rsidP="00D2025D">
      <w:pPr>
        <w:jc w:val="center"/>
        <w:rPr>
          <w:b/>
          <w:sz w:val="28"/>
          <w:szCs w:val="28"/>
          <w:lang w:val="et-EE"/>
        </w:rPr>
      </w:pPr>
    </w:p>
    <w:p w:rsidR="00746019" w:rsidRDefault="00746019" w:rsidP="00D2025D">
      <w:pPr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AMETIJUHEND</w:t>
      </w:r>
    </w:p>
    <w:p w:rsidR="00746019" w:rsidRDefault="00746019" w:rsidP="00746019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Tr="00EE06C0">
        <w:tc>
          <w:tcPr>
            <w:tcW w:w="2694" w:type="dxa"/>
          </w:tcPr>
          <w:p w:rsidR="00746019" w:rsidRDefault="00746019" w:rsidP="00EE06C0">
            <w:pPr>
              <w:jc w:val="both"/>
              <w:rPr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I. ÜLDSÄTTED</w:t>
            </w:r>
          </w:p>
        </w:tc>
        <w:tc>
          <w:tcPr>
            <w:tcW w:w="6804" w:type="dxa"/>
          </w:tcPr>
          <w:p w:rsidR="00746019" w:rsidRDefault="00746019" w:rsidP="00EE06C0">
            <w:pPr>
              <w:jc w:val="both"/>
              <w:rPr>
                <w:szCs w:val="24"/>
                <w:lang w:val="et-EE"/>
              </w:rPr>
            </w:pP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Ametinimetus: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EE06C0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746019">
              <w:rPr>
                <w:lang w:val="et-EE"/>
              </w:rPr>
              <w:t>uristi abi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Struktuuriüksus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Vallakantselei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Teenistusvaldkond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F146C0" w:rsidP="00F14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Õigusabi, lepingud, personalitöö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vallasekretär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vajadusel </w:t>
            </w:r>
            <w:r w:rsidRPr="004E699E">
              <w:rPr>
                <w:lang w:val="et-EE"/>
              </w:rPr>
              <w:t>määratakse vallavanema käskkirjaga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Teenistusse nimetab: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74601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vallavanem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määramata</w:t>
            </w:r>
          </w:p>
        </w:tc>
      </w:tr>
    </w:tbl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II. AMETIKOHA EESMÄRK</w:t>
      </w:r>
    </w:p>
    <w:p w:rsidR="00746019" w:rsidRDefault="00746019" w:rsidP="00746019">
      <w:pPr>
        <w:jc w:val="both"/>
        <w:rPr>
          <w:lang w:val="et-EE"/>
        </w:rPr>
      </w:pPr>
    </w:p>
    <w:p w:rsidR="00746019" w:rsidRPr="003F4544" w:rsidRDefault="00746019" w:rsidP="00746019">
      <w:pPr>
        <w:jc w:val="both"/>
        <w:rPr>
          <w:lang w:val="et-EE"/>
        </w:rPr>
      </w:pPr>
      <w:r w:rsidRPr="003F4544">
        <w:rPr>
          <w:lang w:val="et-EE"/>
        </w:rPr>
        <w:t xml:space="preserve">Vallavalitsuse personaliöö teostamine ning </w:t>
      </w:r>
      <w:r w:rsidR="00A42E67">
        <w:rPr>
          <w:lang w:val="et-EE"/>
        </w:rPr>
        <w:t>lepingute koostamine.</w:t>
      </w:r>
      <w:r w:rsidRPr="003F4544">
        <w:rPr>
          <w:lang w:val="et-EE"/>
        </w:rPr>
        <w:t xml:space="preserve"> Vallavalitsuse juriidiline teenindamine. Lepingute registri pidamine.</w:t>
      </w:r>
    </w:p>
    <w:p w:rsidR="00746019" w:rsidRPr="003F4544" w:rsidRDefault="00746019" w:rsidP="00746019">
      <w:pPr>
        <w:jc w:val="both"/>
        <w:rPr>
          <w:lang w:val="et-EE"/>
        </w:rPr>
      </w:pPr>
    </w:p>
    <w:p w:rsidR="00746019" w:rsidRPr="003F4544" w:rsidRDefault="00746019" w:rsidP="00746019">
      <w:pPr>
        <w:jc w:val="both"/>
        <w:rPr>
          <w:lang w:val="et-EE"/>
        </w:rPr>
      </w:pPr>
    </w:p>
    <w:p w:rsidR="00746019" w:rsidRPr="003F4544" w:rsidRDefault="00746019" w:rsidP="00746019">
      <w:pPr>
        <w:jc w:val="both"/>
        <w:rPr>
          <w:b/>
          <w:szCs w:val="24"/>
          <w:lang w:val="et-EE"/>
        </w:rPr>
      </w:pPr>
      <w:r w:rsidRPr="003F4544">
        <w:rPr>
          <w:b/>
          <w:szCs w:val="24"/>
          <w:lang w:val="et-EE"/>
        </w:rPr>
        <w:t>III. TEENISTUSKOHUSTUSED</w:t>
      </w:r>
    </w:p>
    <w:p w:rsidR="00746019" w:rsidRPr="003F4544" w:rsidRDefault="00746019" w:rsidP="00746019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RPr="003F4544" w:rsidTr="00EE06C0">
        <w:tc>
          <w:tcPr>
            <w:tcW w:w="2694" w:type="dxa"/>
          </w:tcPr>
          <w:p w:rsidR="00746019" w:rsidRPr="003F4544" w:rsidRDefault="00746019" w:rsidP="00EE06C0">
            <w:pPr>
              <w:jc w:val="both"/>
              <w:rPr>
                <w:lang w:val="et-EE"/>
              </w:rPr>
            </w:pPr>
            <w:r w:rsidRPr="003F4544">
              <w:rPr>
                <w:lang w:val="et-EE"/>
              </w:rPr>
              <w:t>1.</w:t>
            </w:r>
            <w:r w:rsidR="003F4544">
              <w:rPr>
                <w:lang w:val="et-EE"/>
              </w:rPr>
              <w:t xml:space="preserve"> Töö juristi abina</w:t>
            </w:r>
            <w:r w:rsidRPr="003F4544">
              <w:rPr>
                <w:lang w:val="et-EE"/>
              </w:rPr>
              <w:t xml:space="preserve"> </w:t>
            </w:r>
          </w:p>
        </w:tc>
        <w:tc>
          <w:tcPr>
            <w:tcW w:w="6804" w:type="dxa"/>
          </w:tcPr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1) vallavalitsuse personalitöö teostamine ja personali programmi „</w:t>
            </w:r>
            <w:proofErr w:type="spellStart"/>
            <w:r w:rsidRPr="003F4544">
              <w:rPr>
                <w:lang w:val="et-EE"/>
              </w:rPr>
              <w:t>Persona</w:t>
            </w:r>
            <w:proofErr w:type="spellEnd"/>
            <w:r w:rsidRPr="003F4544">
              <w:rPr>
                <w:lang w:val="et-EE"/>
              </w:rPr>
              <w:t>“ haldamine;</w:t>
            </w:r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2) personali- ja puhkustekäskkirjade ning lähetuskäskkirjade vormistamine;</w:t>
            </w:r>
          </w:p>
          <w:p w:rsidR="00190A26" w:rsidRDefault="00190A26" w:rsidP="00190A26">
            <w:pPr>
              <w:rPr>
                <w:color w:val="000000"/>
                <w:lang w:val="et-EE"/>
              </w:rPr>
            </w:pPr>
            <w:r w:rsidRPr="003F4544">
              <w:rPr>
                <w:rFonts w:eastAsiaTheme="minorHAnsi"/>
                <w:color w:val="000000"/>
                <w:lang w:val="et-EE"/>
              </w:rPr>
              <w:t>3) töölepingute ja ametisse nimetamise käskkirjade ning nende muudatuste vormistamine, töö ja teenistussuhteks vajalike personalidokumentide täitmise, ko</w:t>
            </w:r>
            <w:r w:rsidRPr="003F4544">
              <w:rPr>
                <w:color w:val="000000"/>
                <w:lang w:val="et-EE"/>
              </w:rPr>
              <w:t>gumise ja hoidmise korraldamine</w:t>
            </w:r>
            <w:r>
              <w:rPr>
                <w:color w:val="000000"/>
                <w:lang w:val="et-EE"/>
              </w:rPr>
              <w:t>,</w:t>
            </w:r>
          </w:p>
          <w:p w:rsidR="00BE5AFC" w:rsidRPr="00190A26" w:rsidRDefault="00190A26" w:rsidP="00190A26">
            <w:pPr>
              <w:jc w:val="both"/>
              <w:rPr>
                <w:lang w:val="et-EE"/>
              </w:rPr>
            </w:pPr>
            <w:r w:rsidRPr="007B3A9E">
              <w:rPr>
                <w:color w:val="000000"/>
                <w:lang w:val="et-EE"/>
              </w:rPr>
              <w:t>teenistusest vabastamise</w:t>
            </w:r>
            <w:r w:rsidRPr="00011A53">
              <w:rPr>
                <w:lang w:val="et-EE"/>
              </w:rPr>
              <w:t xml:space="preserve"> vormistamine; </w:t>
            </w:r>
            <w:bookmarkStart w:id="0" w:name="_GoBack"/>
            <w:bookmarkEnd w:id="0"/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4) kasutamata puhkuste arvestuse pidamine ja avaliku teenistuse staaži arvestus;</w:t>
            </w:r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5) teenistujate tööajatabeli täitmine;</w:t>
            </w:r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6) puhkuste ajakava koostamine;</w:t>
            </w:r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7) osalemine personali värbamise ja valiku protsessis;</w:t>
            </w:r>
          </w:p>
          <w:p w:rsidR="003F4544" w:rsidRP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>8) teenistujate tervisekontrolli suunamise korraldamine ja selle üle arvestuse pidamine</w:t>
            </w:r>
            <w:r w:rsidR="0042709F">
              <w:rPr>
                <w:lang w:val="et-EE"/>
              </w:rPr>
              <w:t>;</w:t>
            </w:r>
          </w:p>
          <w:p w:rsidR="003F4544" w:rsidRDefault="003F4544" w:rsidP="003F4544">
            <w:pPr>
              <w:rPr>
                <w:lang w:val="et-EE"/>
              </w:rPr>
            </w:pPr>
            <w:r w:rsidRPr="003F4544">
              <w:rPr>
                <w:lang w:val="et-EE"/>
              </w:rPr>
              <w:t xml:space="preserve">9) osalemine vallavalitsuse personalitööd puudutavate õigusaktide väljatöötamisel ja </w:t>
            </w:r>
            <w:r w:rsidR="00BE5AFC">
              <w:rPr>
                <w:lang w:val="et-EE"/>
              </w:rPr>
              <w:t xml:space="preserve">vajadusel ettepanekute tegemine </w:t>
            </w:r>
            <w:r w:rsidRPr="003F4544">
              <w:rPr>
                <w:lang w:val="et-EE"/>
              </w:rPr>
              <w:t>personalipoliitika arendamiseks ning muutmiseks</w:t>
            </w:r>
            <w:r w:rsidR="0042709F">
              <w:rPr>
                <w:lang w:val="et-EE"/>
              </w:rPr>
              <w:t>;</w:t>
            </w:r>
          </w:p>
          <w:p w:rsidR="00BE5AFC" w:rsidRPr="003F4544" w:rsidRDefault="00BE5AFC" w:rsidP="003F4544">
            <w:pPr>
              <w:rPr>
                <w:lang w:val="et-EE"/>
              </w:rPr>
            </w:pPr>
            <w:r>
              <w:rPr>
                <w:lang w:val="et-EE"/>
              </w:rPr>
              <w:t>10) nimepitsatite tellimine</w:t>
            </w:r>
            <w:r w:rsidR="0042709F">
              <w:rPr>
                <w:lang w:val="et-EE"/>
              </w:rPr>
              <w:t>;</w:t>
            </w:r>
          </w:p>
          <w:p w:rsidR="003F4544" w:rsidRPr="003F4544" w:rsidRDefault="00BE5AFC" w:rsidP="003F454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11</w:t>
            </w:r>
            <w:r w:rsidR="003F4544" w:rsidRPr="003F4544">
              <w:rPr>
                <w:lang w:val="et-EE"/>
              </w:rPr>
              <w:t>) vallavalitsuse õigusaktide eelnõude ja muude dokumentide kehtivale seadusandlusele vastavuse kontrollimine</w:t>
            </w:r>
            <w:r w:rsidR="00E1230B">
              <w:rPr>
                <w:lang w:val="et-EE"/>
              </w:rPr>
              <w:t>;</w:t>
            </w:r>
          </w:p>
          <w:p w:rsidR="003F4544" w:rsidRPr="003F4544" w:rsidRDefault="00BE5AFC" w:rsidP="003F454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12</w:t>
            </w:r>
            <w:r w:rsidR="003F4544" w:rsidRPr="003F4544">
              <w:rPr>
                <w:lang w:val="et-EE"/>
              </w:rPr>
              <w:t>) vallavalitsuse poolt esitatavate lepingute projektide koostamine, vormistamine ning nende seaduspärasuse vastavuse kontrollimine ning vajadusel muudatuste sisseviimise ettepanekute tegemine;</w:t>
            </w:r>
          </w:p>
          <w:p w:rsidR="003F4544" w:rsidRPr="003F4544" w:rsidRDefault="00BE5AFC" w:rsidP="003F454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13</w:t>
            </w:r>
            <w:r w:rsidR="003F4544" w:rsidRPr="003F4544">
              <w:rPr>
                <w:lang w:val="et-EE"/>
              </w:rPr>
              <w:t xml:space="preserve">) vallavalitsusele esitatavate lepingute läbivaatamine, neile õigusliku hinnangu andmine ning ettepanekute tegemine lepingute </w:t>
            </w:r>
            <w:r w:rsidR="003F4544" w:rsidRPr="003F4544">
              <w:rPr>
                <w:lang w:val="et-EE"/>
              </w:rPr>
              <w:lastRenderedPageBreak/>
              <w:t>muutmise taotlemiseks;</w:t>
            </w:r>
          </w:p>
          <w:p w:rsidR="003F4544" w:rsidRPr="003F4544" w:rsidRDefault="00BE5AFC" w:rsidP="003F4544">
            <w:pPr>
              <w:rPr>
                <w:lang w:val="et-EE"/>
              </w:rPr>
            </w:pPr>
            <w:r>
              <w:rPr>
                <w:lang w:val="et-EE"/>
              </w:rPr>
              <w:t>14</w:t>
            </w:r>
            <w:r w:rsidR="003F4544" w:rsidRPr="003F4544">
              <w:rPr>
                <w:lang w:val="et-EE"/>
              </w:rPr>
              <w:t>) tee</w:t>
            </w:r>
            <w:r w:rsidR="00EE06C0">
              <w:rPr>
                <w:lang w:val="et-EE"/>
              </w:rPr>
              <w:t>nistujate juriidiline teenindamine</w:t>
            </w:r>
            <w:r w:rsidR="0042709F">
              <w:rPr>
                <w:lang w:val="et-EE"/>
              </w:rPr>
              <w:t>;</w:t>
            </w:r>
          </w:p>
          <w:p w:rsidR="003F4544" w:rsidRPr="003F4544" w:rsidRDefault="00BE5AFC" w:rsidP="003F4544">
            <w:pPr>
              <w:rPr>
                <w:lang w:val="et-EE"/>
              </w:rPr>
            </w:pPr>
            <w:r>
              <w:rPr>
                <w:lang w:val="et-EE"/>
              </w:rPr>
              <w:t>15</w:t>
            </w:r>
            <w:r w:rsidR="003F4544" w:rsidRPr="003F4544">
              <w:rPr>
                <w:lang w:val="et-EE"/>
              </w:rPr>
              <w:t>) lepinguteregistri pidamine- lepingute skaneerimine ja registreerimine dokumendiregistris, lepingutest koopiate tegemine ja rahandusametile ning teistele osapooltele edastamine</w:t>
            </w:r>
            <w:r w:rsidR="0042709F">
              <w:rPr>
                <w:lang w:val="et-EE"/>
              </w:rPr>
              <w:t>;</w:t>
            </w:r>
          </w:p>
          <w:p w:rsidR="00746019" w:rsidRPr="003F4544" w:rsidRDefault="00BE5AFC" w:rsidP="00DA2F09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  <w:r w:rsidR="0042709F">
              <w:rPr>
                <w:lang w:val="et-EE"/>
              </w:rPr>
              <w:t>6</w:t>
            </w:r>
            <w:r w:rsidR="003F4544" w:rsidRPr="003F4544">
              <w:rPr>
                <w:lang w:val="et-EE"/>
              </w:rPr>
              <w:t>) juristi ja vallasekretäri poolt saadud</w:t>
            </w:r>
            <w:r w:rsidR="00DA2F09">
              <w:rPr>
                <w:lang w:val="et-EE"/>
              </w:rPr>
              <w:t xml:space="preserve"> ühekordsete ülesannete täimine.</w:t>
            </w:r>
          </w:p>
        </w:tc>
      </w:tr>
      <w:tr w:rsidR="00746019" w:rsidRPr="0042709F" w:rsidTr="00EE06C0">
        <w:tc>
          <w:tcPr>
            <w:tcW w:w="2694" w:type="dxa"/>
          </w:tcPr>
          <w:p w:rsidR="00746019" w:rsidRPr="0042709F" w:rsidRDefault="0042709F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lastRenderedPageBreak/>
              <w:t>2</w:t>
            </w:r>
            <w:r w:rsidR="00746019" w:rsidRPr="0042709F">
              <w:rPr>
                <w:lang w:val="et-EE"/>
              </w:rPr>
              <w:t>. Erinõuded</w:t>
            </w:r>
          </w:p>
        </w:tc>
        <w:tc>
          <w:tcPr>
            <w:tcW w:w="6804" w:type="dxa"/>
          </w:tcPr>
          <w:p w:rsidR="00AB7A9A" w:rsidRDefault="00AB7A9A" w:rsidP="00AB7A9A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Vastutab nii teenistussuhte ajal kui ka pärast teenistusest vabastamist talle teenistuse tõttu teatavaks saanud isikuandmete ning muu konfidentsiaalsena saadud informatsiooni hoidmise eest.</w:t>
            </w:r>
          </w:p>
          <w:p w:rsidR="00746019" w:rsidRPr="0042709F" w:rsidRDefault="00746019" w:rsidP="00EE06C0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746019" w:rsidRPr="0042709F" w:rsidRDefault="00746019" w:rsidP="00746019">
      <w:pPr>
        <w:jc w:val="both"/>
        <w:rPr>
          <w:lang w:val="et-EE"/>
        </w:rPr>
      </w:pPr>
    </w:p>
    <w:p w:rsidR="00746019" w:rsidRPr="0042709F" w:rsidRDefault="00746019" w:rsidP="00746019">
      <w:pPr>
        <w:jc w:val="both"/>
        <w:rPr>
          <w:lang w:val="et-EE"/>
        </w:rPr>
      </w:pP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IV. VASTUTUS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746019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42709F">
        <w:rPr>
          <w:color w:val="000000"/>
          <w:lang w:val="et-EE"/>
        </w:rPr>
        <w:t>Kannab täielikku materiaalset vastutust talle usaldatud vahendite sihipärase kasutamise eest.</w:t>
      </w:r>
    </w:p>
    <w:p w:rsidR="00746019" w:rsidRPr="0042709F" w:rsidRDefault="00746019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42709F">
        <w:rPr>
          <w:color w:val="000000"/>
          <w:lang w:val="et-EE"/>
        </w:rPr>
        <w:t>Vastutab teenistuskohustuste ja talle antud ülesannete õigeaegse ja täpse täitmise eest.</w:t>
      </w:r>
    </w:p>
    <w:p w:rsidR="00746019" w:rsidRPr="0042709F" w:rsidRDefault="00746019" w:rsidP="00746019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 w:rsidRPr="0042709F">
        <w:rPr>
          <w:color w:val="000000"/>
          <w:lang w:val="et-EE"/>
        </w:rPr>
        <w:t>Vastutab väljastatava ja edastatava informatsiooni õigsuse ja objektiivsuse eest ning seoses teenistuskohustuste täitmisega talle teatavaks saanud andmete, mis võivad kahjustada vallavalitsuse huve, konfidentsiaalsuse säilimise eest.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V. ÕIGUSED TEENISTUSKOHUSTUSTE TÄITMISEL</w:t>
      </w:r>
    </w:p>
    <w:p w:rsidR="00746019" w:rsidRPr="0042709F" w:rsidRDefault="00746019" w:rsidP="00746019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1. Allkirja õigus:</w:t>
            </w:r>
          </w:p>
        </w:tc>
        <w:tc>
          <w:tcPr>
            <w:tcW w:w="6946" w:type="dxa"/>
          </w:tcPr>
          <w:p w:rsidR="00746019" w:rsidRPr="0042709F" w:rsidRDefault="007516FA" w:rsidP="0074601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746019" w:rsidRPr="0042709F">
              <w:rPr>
                <w:lang w:val="et-EE"/>
              </w:rPr>
              <w:t xml:space="preserve">eenistuslehtedel, aruannetel ja ametialastel dokumentidel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2. Info saamise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3. Ettepanekute õigus:</w:t>
            </w:r>
          </w:p>
        </w:tc>
        <w:tc>
          <w:tcPr>
            <w:tcW w:w="6946" w:type="dxa"/>
          </w:tcPr>
          <w:p w:rsidR="00746019" w:rsidRPr="0042709F" w:rsidRDefault="00746019" w:rsidP="00731BF2">
            <w:pPr>
              <w:pStyle w:val="Bodyt"/>
              <w:numPr>
                <w:ilvl w:val="0"/>
                <w:numId w:val="0"/>
              </w:numPr>
            </w:pPr>
            <w:r w:rsidRPr="0042709F">
              <w:t xml:space="preserve">asjaajamis- ja personalitööks vajalike õigusaktide, kordade ja juhendite väljatöötamise ja kehtestamise kohta. </w:t>
            </w:r>
            <w:r w:rsidR="00EE06C0">
              <w:t>V</w:t>
            </w:r>
            <w:r w:rsidR="00EE06C0" w:rsidRPr="00D11C73">
              <w:t>ajadusel lepingute projektidesse muudatuste sisseviimise kohta</w:t>
            </w:r>
            <w:r w:rsidR="00EE06C0">
              <w:t>.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4. Täiendõppe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vastavalt valla eelarvele</w:t>
            </w:r>
          </w:p>
        </w:tc>
      </w:tr>
    </w:tbl>
    <w:p w:rsidR="00DA2F09" w:rsidRPr="003337B9" w:rsidRDefault="00DA2F09" w:rsidP="003337B9">
      <w:pPr>
        <w:jc w:val="both"/>
        <w:rPr>
          <w:color w:val="000000"/>
        </w:rPr>
      </w:pP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/>
          <w:bCs/>
        </w:rPr>
      </w:pPr>
      <w:r w:rsidRPr="0042709F">
        <w:rPr>
          <w:b/>
          <w:bCs/>
        </w:rPr>
        <w:t xml:space="preserve">VI. NÕUDED AMETIKOHA TÄITJALE </w:t>
      </w: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Haridus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 w:rsidRPr="0042709F">
              <w:rPr>
                <w:bCs/>
              </w:rPr>
              <w:t>juriidiline kõrgharidus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Ametioskused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296F34" w:rsidP="00296F34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 xml:space="preserve">hea arvuti kasutamise oskus </w:t>
            </w:r>
            <w:r w:rsidRPr="00AB3551">
              <w:t>(</w:t>
            </w:r>
            <w:proofErr w:type="spellStart"/>
            <w:r w:rsidRPr="00AB3551">
              <w:t>teksti</w:t>
            </w:r>
            <w:r>
              <w:t>töötlus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infobaaside</w:t>
            </w:r>
            <w:proofErr w:type="spellEnd"/>
            <w:r>
              <w:t xml:space="preserve"> </w:t>
            </w:r>
            <w:proofErr w:type="spellStart"/>
            <w:r>
              <w:t>kasutus</w:t>
            </w:r>
            <w:proofErr w:type="spellEnd"/>
            <w:r>
              <w:t>)</w:t>
            </w:r>
            <w:r>
              <w:rPr>
                <w:bCs/>
                <w:lang w:val="et-EE"/>
              </w:rPr>
              <w:t xml:space="preserve">, </w:t>
            </w:r>
            <w:r w:rsidR="00EE06C0">
              <w:rPr>
                <w:bCs/>
                <w:lang w:val="et-EE"/>
              </w:rPr>
              <w:t>p</w:t>
            </w:r>
            <w:r w:rsidR="00746019" w:rsidRPr="0042709F">
              <w:rPr>
                <w:bCs/>
                <w:lang w:val="et-EE"/>
              </w:rPr>
              <w:t xml:space="preserve">ersonalitööd puudutavate õigusaktide tundmine. </w:t>
            </w:r>
            <w:r>
              <w:rPr>
                <w:lang w:val="et-EE"/>
              </w:rPr>
              <w:t xml:space="preserve">Avaliku halduse organisatsiooni ja avaliku teenistust reguleerivate õigusaktide tundmine, vallavalitsuse tegevusvaldkondade ning vallavalitsuse tegevust reguleerivate õigusaktide tundmine. 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71D97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Isikuomadused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EE06C0" w:rsidP="00EE06C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s</w:t>
            </w:r>
            <w:r w:rsidR="00746019" w:rsidRPr="0042709F">
              <w:rPr>
                <w:bCs/>
                <w:lang w:val="et-EE"/>
              </w:rPr>
              <w:t>uhtlemis- ja eneseväljendusoskus sealhulgas läbirääkimisoskus</w:t>
            </w:r>
            <w:r w:rsidR="008B5144">
              <w:rPr>
                <w:bCs/>
                <w:lang w:val="et-EE"/>
              </w:rPr>
              <w:t xml:space="preserve">, </w:t>
            </w:r>
            <w:r w:rsidR="00746019" w:rsidRPr="0042709F">
              <w:rPr>
                <w:bCs/>
                <w:lang w:val="et-EE"/>
              </w:rPr>
              <w:t xml:space="preserve">analüüsioskus ja kohusetunne. 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Võõrkeelte oskus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746019" w:rsidRPr="0042709F">
              <w:rPr>
                <w:bCs/>
              </w:rPr>
              <w:t xml:space="preserve">oovitavalt ühe võõrkeele oskus </w:t>
            </w:r>
            <w:r w:rsidR="00746019" w:rsidRPr="0042709F">
              <w:rPr>
                <w:bCs/>
              </w:rPr>
              <w:lastRenderedPageBreak/>
              <w:t>suhtlustasandil.</w:t>
            </w:r>
          </w:p>
        </w:tc>
      </w:tr>
      <w:tr w:rsidR="00EE06C0" w:rsidRPr="0042709F" w:rsidTr="00EE06C0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0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lastRenderedPageBreak/>
              <w:t>Töökogemus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0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8B5144">
              <w:rPr>
                <w:bCs/>
              </w:rPr>
              <w:t>oovitatav</w:t>
            </w:r>
            <w:r w:rsidRPr="0042709F">
              <w:rPr>
                <w:bCs/>
              </w:rPr>
              <w:t xml:space="preserve"> töökogemus avalikus sektoris vähemalt 2 aastat </w:t>
            </w:r>
          </w:p>
        </w:tc>
      </w:tr>
    </w:tbl>
    <w:p w:rsidR="00746019" w:rsidRPr="0042709F" w:rsidRDefault="00746019" w:rsidP="00746019">
      <w:pPr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746019" w:rsidRDefault="00746019" w:rsidP="00746019">
      <w:pPr>
        <w:jc w:val="both"/>
        <w:rPr>
          <w:lang w:val="et-EE"/>
        </w:rPr>
      </w:pPr>
    </w:p>
    <w:p w:rsidR="00746019" w:rsidRDefault="00746019" w:rsidP="00746019">
      <w:pPr>
        <w:jc w:val="both"/>
        <w:rPr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="00CB3693"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746019" w:rsidRDefault="00746019" w:rsidP="00746019">
      <w:pPr>
        <w:jc w:val="both"/>
        <w:rPr>
          <w:b/>
          <w:sz w:val="28"/>
          <w:lang w:val="et-EE"/>
        </w:rPr>
      </w:pPr>
    </w:p>
    <w:p w:rsidR="00746019" w:rsidRDefault="00746019" w:rsidP="00746019">
      <w:pPr>
        <w:jc w:val="both"/>
        <w:rPr>
          <w:b/>
          <w:sz w:val="28"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VIII. LÕPPSÄTTED</w:t>
      </w:r>
    </w:p>
    <w:p w:rsidR="00746019" w:rsidRDefault="00746019" w:rsidP="00746019">
      <w:pPr>
        <w:jc w:val="both"/>
        <w:rPr>
          <w:b/>
          <w:szCs w:val="24"/>
          <w:lang w:val="et-EE"/>
        </w:rPr>
      </w:pP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Ametijuhendiga tutvumist kinnitab ametnik </w:t>
      </w:r>
      <w:r w:rsidR="00DA2F09">
        <w:rPr>
          <w:lang w:val="et-EE"/>
        </w:rPr>
        <w:t>allkirjaga ametijuhendi koopial.</w:t>
      </w: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antakse samaaegselt ametijuhendiga ametnikule</w:t>
      </w:r>
      <w:r>
        <w:rPr>
          <w:lang w:val="et-EE"/>
        </w:rPr>
        <w:t xml:space="preserve"> tutvumiseks Vallavalitsuse sisekorraeeskirjad, millega tutvumist kinnitab ametnik sama allkirjaga ametijuhendil.</w:t>
      </w: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  <w:r>
        <w:rPr>
          <w:b/>
          <w:lang w:val="et-EE"/>
        </w:rPr>
        <w:t>_________________________________________________________________________</w:t>
      </w:r>
    </w:p>
    <w:p w:rsidR="00746019" w:rsidRDefault="00746019" w:rsidP="00746019">
      <w:pPr>
        <w:jc w:val="both"/>
        <w:rPr>
          <w:sz w:val="20"/>
          <w:lang w:val="et-EE"/>
        </w:rPr>
      </w:pPr>
      <w:r>
        <w:rPr>
          <w:sz w:val="20"/>
          <w:lang w:val="et-EE"/>
        </w:rPr>
        <w:t xml:space="preserve">Ametniku ees- ja perekonnanimi 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 xml:space="preserve">allkiri 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>kuupäev</w:t>
      </w:r>
    </w:p>
    <w:p w:rsidR="00746019" w:rsidRDefault="00746019" w:rsidP="00746019">
      <w:pPr>
        <w:jc w:val="both"/>
        <w:rPr>
          <w:lang w:val="et-EE"/>
        </w:rPr>
      </w:pPr>
    </w:p>
    <w:p w:rsidR="00E836D0" w:rsidRDefault="00E836D0"/>
    <w:sectPr w:rsidR="00E836D0" w:rsidSect="00746019">
      <w:headerReference w:type="default" r:id="rId8"/>
      <w:pgSz w:w="11906" w:h="16838"/>
      <w:pgMar w:top="993" w:right="99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FA" w:rsidRDefault="007516FA">
      <w:r>
        <w:separator/>
      </w:r>
    </w:p>
  </w:endnote>
  <w:endnote w:type="continuationSeparator" w:id="0">
    <w:p w:rsidR="007516FA" w:rsidRDefault="007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FA" w:rsidRDefault="007516FA">
      <w:r>
        <w:separator/>
      </w:r>
    </w:p>
  </w:footnote>
  <w:footnote w:type="continuationSeparator" w:id="0">
    <w:p w:rsidR="007516FA" w:rsidRDefault="0075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FA" w:rsidRDefault="007516F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D9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6000E9"/>
    <w:multiLevelType w:val="multilevel"/>
    <w:tmpl w:val="57245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A96859"/>
    <w:multiLevelType w:val="hybridMultilevel"/>
    <w:tmpl w:val="B840E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76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062B57"/>
    <w:multiLevelType w:val="hybridMultilevel"/>
    <w:tmpl w:val="D876A066"/>
    <w:lvl w:ilvl="0" w:tplc="EF7C0DA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7FCE4662"/>
    <w:multiLevelType w:val="hybridMultilevel"/>
    <w:tmpl w:val="B0680948"/>
    <w:lvl w:ilvl="0" w:tplc="042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9"/>
    <w:rsid w:val="00044E3E"/>
    <w:rsid w:val="00190A26"/>
    <w:rsid w:val="00296F34"/>
    <w:rsid w:val="0029724E"/>
    <w:rsid w:val="002C67B6"/>
    <w:rsid w:val="002E18C2"/>
    <w:rsid w:val="002E5303"/>
    <w:rsid w:val="0031650E"/>
    <w:rsid w:val="003337B9"/>
    <w:rsid w:val="003F4544"/>
    <w:rsid w:val="0042709F"/>
    <w:rsid w:val="004F418C"/>
    <w:rsid w:val="005D46E5"/>
    <w:rsid w:val="005E7A0F"/>
    <w:rsid w:val="00663E83"/>
    <w:rsid w:val="00675E92"/>
    <w:rsid w:val="006B36DF"/>
    <w:rsid w:val="006F5C5E"/>
    <w:rsid w:val="00731BF2"/>
    <w:rsid w:val="00746019"/>
    <w:rsid w:val="007516FA"/>
    <w:rsid w:val="00771D97"/>
    <w:rsid w:val="00772504"/>
    <w:rsid w:val="007C3C74"/>
    <w:rsid w:val="008B5144"/>
    <w:rsid w:val="008D31B8"/>
    <w:rsid w:val="00943A34"/>
    <w:rsid w:val="009B3D9A"/>
    <w:rsid w:val="009E35EF"/>
    <w:rsid w:val="00A04BCD"/>
    <w:rsid w:val="00A06F4D"/>
    <w:rsid w:val="00A42E67"/>
    <w:rsid w:val="00AB7A9A"/>
    <w:rsid w:val="00BC7EDF"/>
    <w:rsid w:val="00BE5AFC"/>
    <w:rsid w:val="00C0420C"/>
    <w:rsid w:val="00C35DFB"/>
    <w:rsid w:val="00CB0D8F"/>
    <w:rsid w:val="00CB3693"/>
    <w:rsid w:val="00CE027C"/>
    <w:rsid w:val="00D2025D"/>
    <w:rsid w:val="00DA2F09"/>
    <w:rsid w:val="00E1230B"/>
    <w:rsid w:val="00E770DB"/>
    <w:rsid w:val="00E836D0"/>
    <w:rsid w:val="00EE06C0"/>
    <w:rsid w:val="00F146C0"/>
    <w:rsid w:val="00F30539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19</cp:revision>
  <cp:lastPrinted>2013-11-06T11:55:00Z</cp:lastPrinted>
  <dcterms:created xsi:type="dcterms:W3CDTF">2013-10-31T12:03:00Z</dcterms:created>
  <dcterms:modified xsi:type="dcterms:W3CDTF">2014-06-19T11:02:00Z</dcterms:modified>
</cp:coreProperties>
</file>